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261" w:rsidRPr="00C40F45" w:rsidRDefault="00815261" w:rsidP="00815261">
      <w:pPr>
        <w:spacing w:after="0" w:line="240" w:lineRule="auto"/>
        <w:jc w:val="center"/>
        <w:rPr>
          <w:b/>
          <w:sz w:val="24"/>
        </w:rPr>
      </w:pPr>
      <w:r>
        <w:rPr>
          <w:noProof/>
        </w:rPr>
        <w:drawing>
          <wp:inline distT="0" distB="0" distL="0" distR="0">
            <wp:extent cx="3617595" cy="1123839"/>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Mercy Ministries Logo.jpg"/>
                    <pic:cNvPicPr/>
                  </pic:nvPicPr>
                  <pic:blipFill rotWithShape="1">
                    <a:blip r:embed="rId6">
                      <a:extLst>
                        <a:ext uri="{28A0092B-C50C-407E-A947-70E740481C1C}">
                          <a14:useLocalDpi xmlns:a14="http://schemas.microsoft.com/office/drawing/2010/main" val="0"/>
                        </a:ext>
                      </a:extLst>
                    </a:blip>
                    <a:srcRect t="7325" b="6250"/>
                    <a:stretch/>
                  </pic:blipFill>
                  <pic:spPr bwMode="auto">
                    <a:xfrm>
                      <a:off x="0" y="0"/>
                      <a:ext cx="3622979" cy="1125512"/>
                    </a:xfrm>
                    <a:prstGeom prst="rect">
                      <a:avLst/>
                    </a:prstGeom>
                    <a:ln>
                      <a:noFill/>
                    </a:ln>
                    <a:extLst>
                      <a:ext uri="{53640926-AAD7-44D8-BBD7-CCE9431645EC}">
                        <a14:shadowObscured xmlns:a14="http://schemas.microsoft.com/office/drawing/2010/main"/>
                      </a:ext>
                    </a:extLst>
                  </pic:spPr>
                </pic:pic>
              </a:graphicData>
            </a:graphic>
          </wp:inline>
        </w:drawing>
      </w:r>
      <w:r w:rsidRPr="00815261">
        <w:rPr>
          <w:b/>
          <w:sz w:val="24"/>
        </w:rPr>
        <w:t xml:space="preserve"> </w:t>
      </w:r>
    </w:p>
    <w:p w:rsidR="00970D4C" w:rsidRPr="00970D4C" w:rsidRDefault="00970D4C" w:rsidP="001369EF">
      <w:pPr>
        <w:rPr>
          <w:sz w:val="24"/>
          <w:u w:val="single"/>
        </w:rPr>
      </w:pPr>
      <w:r>
        <w:rPr>
          <w:b/>
          <w:sz w:val="24"/>
          <w:u w:val="single"/>
        </w:rPr>
        <w:t>Who We Are:</w:t>
      </w:r>
      <w:r w:rsidRPr="00970D4C">
        <w:rPr>
          <w:b/>
          <w:sz w:val="24"/>
        </w:rPr>
        <w:t xml:space="preserve"> </w:t>
      </w:r>
      <w:r w:rsidRPr="00970D4C">
        <w:rPr>
          <w:b/>
          <w:color w:val="C00000"/>
          <w:sz w:val="24"/>
        </w:rPr>
        <w:t xml:space="preserve"> </w:t>
      </w:r>
      <w:r w:rsidRPr="00970D4C">
        <w:rPr>
          <w:color w:val="C00000"/>
          <w:sz w:val="24"/>
        </w:rPr>
        <w:t xml:space="preserve">The Mercy Ministries (TMM) is a faith-based 501(c)3 non-profit organization made up of a collective group of services (Mercy Medical Clinic, Mercy Dental Clinic, and Mercy University) aimed at providing holistic healthcare to those in need for individuals living within a 45-mile radius of Lyons, Ga. </w:t>
      </w:r>
    </w:p>
    <w:p w:rsidR="0086158F" w:rsidRPr="0086158F" w:rsidRDefault="0086158F" w:rsidP="0086158F">
      <w:pPr>
        <w:spacing w:line="240" w:lineRule="auto"/>
        <w:rPr>
          <w:color w:val="C00000"/>
          <w:sz w:val="24"/>
        </w:rPr>
      </w:pPr>
      <w:r w:rsidRPr="0086158F">
        <w:rPr>
          <w:b/>
          <w:sz w:val="24"/>
          <w:u w:val="single"/>
        </w:rPr>
        <w:t>Who We Serve:</w:t>
      </w:r>
      <w:r w:rsidRPr="00F818E3">
        <w:rPr>
          <w:rFonts w:ascii="Times New Roman" w:hAnsi="Times New Roman" w:cs="Times New Roman"/>
          <w:sz w:val="24"/>
          <w:szCs w:val="24"/>
        </w:rPr>
        <w:t xml:space="preserve"> </w:t>
      </w:r>
      <w:r w:rsidRPr="0086158F">
        <w:rPr>
          <w:color w:val="C00000"/>
          <w:sz w:val="24"/>
        </w:rPr>
        <w:t xml:space="preserve">The Mercy Ministries’ medical and dental services are available (upon application) for the uninsured, low-income (200% the FPL or below) population between the ages of 19-63 that are ineligible for Medicaid in the state of Ga. because they are not disabled or pregnant. Applicants must also have some type of chronic illness (i.e. diabetes, hypertension, heart disease, etc.) or on-going issue that needs to be managed by a primary care provider. The Mercy Ministries’ Mercy University program is available to TMM’s active medical/dental patients as well as the community at large. </w:t>
      </w:r>
    </w:p>
    <w:p w:rsidR="001369EF" w:rsidRPr="001369EF" w:rsidRDefault="001369EF" w:rsidP="001369EF">
      <w:pPr>
        <w:rPr>
          <w:rFonts w:ascii="Myriad Pro" w:hAnsi="Myriad Pro"/>
          <w:sz w:val="24"/>
        </w:rPr>
      </w:pPr>
      <w:r w:rsidRPr="001369EF">
        <w:rPr>
          <w:b/>
          <w:sz w:val="24"/>
          <w:u w:val="single"/>
        </w:rPr>
        <w:t>Mission:</w:t>
      </w:r>
      <w:r w:rsidRPr="00970D4C">
        <w:rPr>
          <w:b/>
          <w:sz w:val="24"/>
        </w:rPr>
        <w:t xml:space="preserve"> </w:t>
      </w:r>
      <w:r w:rsidRPr="00970D4C">
        <w:rPr>
          <w:color w:val="C00000"/>
          <w:sz w:val="24"/>
        </w:rPr>
        <w:t xml:space="preserve">To </w:t>
      </w:r>
      <w:r w:rsidR="008D18FE" w:rsidRPr="00970D4C">
        <w:rPr>
          <w:color w:val="C00000"/>
          <w:sz w:val="24"/>
        </w:rPr>
        <w:t>transform lives by putting God’s love into action</w:t>
      </w:r>
      <w:r w:rsidR="008D18FE" w:rsidRPr="00D61C1A">
        <w:rPr>
          <w:color w:val="C00000"/>
          <w:sz w:val="24"/>
        </w:rPr>
        <w:t xml:space="preserve"> </w:t>
      </w:r>
      <w:r w:rsidRPr="00D61C1A">
        <w:rPr>
          <w:rFonts w:ascii="Myriad Pro" w:hAnsi="Myriad Pro"/>
          <w:color w:val="C00000"/>
          <w:sz w:val="24"/>
        </w:rPr>
        <w:t xml:space="preserve">  </w:t>
      </w:r>
    </w:p>
    <w:p w:rsidR="001369EF" w:rsidRPr="00970D4C" w:rsidRDefault="001369EF" w:rsidP="001369EF">
      <w:r w:rsidRPr="001369EF">
        <w:rPr>
          <w:b/>
          <w:sz w:val="24"/>
          <w:u w:val="single"/>
        </w:rPr>
        <w:t>Vision</w:t>
      </w:r>
      <w:r w:rsidRPr="001369EF">
        <w:t xml:space="preserve">: </w:t>
      </w:r>
      <w:r w:rsidRPr="00970D4C">
        <w:rPr>
          <w:color w:val="C00000"/>
          <w:sz w:val="24"/>
        </w:rPr>
        <w:t xml:space="preserve">To </w:t>
      </w:r>
      <w:r w:rsidR="008D18FE" w:rsidRPr="00970D4C">
        <w:rPr>
          <w:color w:val="C00000"/>
          <w:sz w:val="24"/>
        </w:rPr>
        <w:t>eliminate the gaps to healthcare and wellness in every community</w:t>
      </w:r>
    </w:p>
    <w:p w:rsidR="00D8231A" w:rsidRDefault="008D18FE" w:rsidP="00D8231A">
      <w:pPr>
        <w:rPr>
          <w:sz w:val="24"/>
        </w:rPr>
      </w:pPr>
      <w:r>
        <w:rPr>
          <w:b/>
          <w:sz w:val="24"/>
          <w:u w:val="single"/>
        </w:rPr>
        <w:t xml:space="preserve">Values: </w:t>
      </w:r>
      <w:r>
        <w:rPr>
          <w:sz w:val="24"/>
        </w:rPr>
        <w:t xml:space="preserve"> </w:t>
      </w:r>
    </w:p>
    <w:p w:rsidR="00D8231A" w:rsidRPr="00D8231A" w:rsidRDefault="00D8231A" w:rsidP="00D8231A">
      <w:pPr>
        <w:pStyle w:val="ListParagraph"/>
        <w:numPr>
          <w:ilvl w:val="0"/>
          <w:numId w:val="4"/>
        </w:numPr>
        <w:rPr>
          <w:color w:val="C00000"/>
          <w:sz w:val="24"/>
        </w:rPr>
      </w:pPr>
      <w:r w:rsidRPr="00D8231A">
        <w:rPr>
          <w:b/>
          <w:color w:val="C00000"/>
          <w:sz w:val="24"/>
        </w:rPr>
        <w:t>Evangelism</w:t>
      </w:r>
      <w:r w:rsidRPr="00D8231A">
        <w:rPr>
          <w:b/>
          <w:color w:val="C00000"/>
        </w:rPr>
        <w:t xml:space="preserve"> </w:t>
      </w:r>
      <w:r w:rsidRPr="00D8231A">
        <w:rPr>
          <w:color w:val="C00000"/>
        </w:rPr>
        <w:t>- We will intentionally share the Gospel with word and action in all we do.​</w:t>
      </w:r>
    </w:p>
    <w:p w:rsidR="00D8231A" w:rsidRPr="00D8231A" w:rsidRDefault="00D8231A" w:rsidP="00D8231A">
      <w:pPr>
        <w:pStyle w:val="ListParagraph"/>
        <w:numPr>
          <w:ilvl w:val="0"/>
          <w:numId w:val="4"/>
        </w:numPr>
        <w:rPr>
          <w:color w:val="C00000"/>
          <w:sz w:val="24"/>
        </w:rPr>
      </w:pPr>
      <w:r w:rsidRPr="00D8231A">
        <w:rPr>
          <w:b/>
          <w:color w:val="C00000"/>
          <w:sz w:val="24"/>
        </w:rPr>
        <w:t>Integrity</w:t>
      </w:r>
      <w:r>
        <w:rPr>
          <w:color w:val="C00000"/>
          <w:sz w:val="24"/>
        </w:rPr>
        <w:t xml:space="preserve"> </w:t>
      </w:r>
      <w:r w:rsidRPr="00D8231A">
        <w:rPr>
          <w:color w:val="C00000"/>
        </w:rPr>
        <w:t>-</w:t>
      </w:r>
      <w:r>
        <w:rPr>
          <w:color w:val="C00000"/>
        </w:rPr>
        <w:t xml:space="preserve"> </w:t>
      </w:r>
      <w:r w:rsidRPr="00D8231A">
        <w:rPr>
          <w:color w:val="C00000"/>
        </w:rPr>
        <w:t>Everything we do will be above reproach for the sake of our organization and those who support it.</w:t>
      </w:r>
    </w:p>
    <w:p w:rsidR="00D8231A" w:rsidRDefault="00D8231A" w:rsidP="00D8231A">
      <w:pPr>
        <w:pStyle w:val="ListParagraph"/>
        <w:numPr>
          <w:ilvl w:val="0"/>
          <w:numId w:val="4"/>
        </w:numPr>
        <w:rPr>
          <w:color w:val="C00000"/>
          <w:sz w:val="24"/>
        </w:rPr>
      </w:pPr>
      <w:r w:rsidRPr="00D8231A">
        <w:rPr>
          <w:b/>
          <w:color w:val="C00000"/>
          <w:sz w:val="24"/>
        </w:rPr>
        <w:t xml:space="preserve">Respect </w:t>
      </w:r>
      <w:r w:rsidRPr="00D8231A">
        <w:rPr>
          <w:color w:val="C00000"/>
          <w:sz w:val="24"/>
        </w:rPr>
        <w:t xml:space="preserve">- </w:t>
      </w:r>
      <w:r w:rsidRPr="00D8231A">
        <w:rPr>
          <w:color w:val="C00000"/>
        </w:rPr>
        <w:t>In all things we will lead people to value themselves, and in return, value others.</w:t>
      </w:r>
      <w:r w:rsidRPr="00D8231A">
        <w:rPr>
          <w:color w:val="C00000"/>
          <w:sz w:val="24"/>
        </w:rPr>
        <w:t>​</w:t>
      </w:r>
    </w:p>
    <w:p w:rsidR="00D8231A" w:rsidRPr="00D8231A" w:rsidRDefault="00D8231A" w:rsidP="00D8231A">
      <w:pPr>
        <w:pStyle w:val="ListParagraph"/>
        <w:numPr>
          <w:ilvl w:val="0"/>
          <w:numId w:val="4"/>
        </w:numPr>
        <w:rPr>
          <w:color w:val="C00000"/>
          <w:sz w:val="24"/>
        </w:rPr>
      </w:pPr>
      <w:r w:rsidRPr="00D8231A">
        <w:rPr>
          <w:b/>
          <w:color w:val="C00000"/>
          <w:sz w:val="24"/>
        </w:rPr>
        <w:t xml:space="preserve">Compassion </w:t>
      </w:r>
      <w:r w:rsidRPr="00D8231A">
        <w:rPr>
          <w:color w:val="C00000"/>
          <w:sz w:val="24"/>
        </w:rPr>
        <w:t xml:space="preserve">- </w:t>
      </w:r>
      <w:r w:rsidRPr="00D8231A">
        <w:rPr>
          <w:color w:val="C00000"/>
        </w:rPr>
        <w:t>Loving God's children by seeking solutions to alleviate their suffering.​</w:t>
      </w:r>
    </w:p>
    <w:p w:rsidR="00D8231A" w:rsidRPr="00D8231A" w:rsidRDefault="00D8231A" w:rsidP="00D8231A">
      <w:pPr>
        <w:pStyle w:val="ListParagraph"/>
        <w:numPr>
          <w:ilvl w:val="0"/>
          <w:numId w:val="4"/>
        </w:numPr>
        <w:rPr>
          <w:color w:val="C00000"/>
          <w:sz w:val="24"/>
        </w:rPr>
      </w:pPr>
      <w:r w:rsidRPr="00D8231A">
        <w:rPr>
          <w:b/>
          <w:color w:val="C00000"/>
          <w:sz w:val="24"/>
        </w:rPr>
        <w:t>Accountability</w:t>
      </w:r>
      <w:r w:rsidRPr="00D8231A">
        <w:rPr>
          <w:color w:val="C00000"/>
          <w:sz w:val="24"/>
        </w:rPr>
        <w:t xml:space="preserve"> - </w:t>
      </w:r>
      <w:r w:rsidRPr="00D8231A">
        <w:rPr>
          <w:color w:val="C00000"/>
        </w:rPr>
        <w:t>We will not enable people to maintain the status quo; growth is the only option.</w:t>
      </w:r>
    </w:p>
    <w:p w:rsidR="00D8231A" w:rsidRPr="00D8231A" w:rsidRDefault="00D8231A" w:rsidP="00D8231A">
      <w:pPr>
        <w:pStyle w:val="ListParagraph"/>
        <w:numPr>
          <w:ilvl w:val="0"/>
          <w:numId w:val="4"/>
        </w:numPr>
        <w:rPr>
          <w:color w:val="C00000"/>
          <w:sz w:val="24"/>
        </w:rPr>
      </w:pPr>
      <w:r w:rsidRPr="00D8231A">
        <w:rPr>
          <w:b/>
          <w:color w:val="C00000"/>
          <w:sz w:val="24"/>
        </w:rPr>
        <w:t>Community</w:t>
      </w:r>
      <w:r w:rsidRPr="00D8231A">
        <w:rPr>
          <w:color w:val="C00000"/>
          <w:sz w:val="24"/>
        </w:rPr>
        <w:t xml:space="preserve"> - </w:t>
      </w:r>
      <w:r w:rsidRPr="00D8231A">
        <w:rPr>
          <w:color w:val="C00000"/>
        </w:rPr>
        <w:t>We believe isolation is toxic and thus encourage Biblical community throughout our programs.</w:t>
      </w:r>
    </w:p>
    <w:p w:rsidR="00D8231A" w:rsidRPr="00D8231A" w:rsidRDefault="00D8231A" w:rsidP="00D8231A">
      <w:pPr>
        <w:pStyle w:val="ListParagraph"/>
        <w:numPr>
          <w:ilvl w:val="0"/>
          <w:numId w:val="4"/>
        </w:numPr>
        <w:rPr>
          <w:color w:val="C00000"/>
          <w:sz w:val="24"/>
        </w:rPr>
      </w:pPr>
      <w:r w:rsidRPr="00D8231A">
        <w:rPr>
          <w:b/>
          <w:color w:val="C00000"/>
          <w:sz w:val="24"/>
        </w:rPr>
        <w:t>Excellence</w:t>
      </w:r>
      <w:r w:rsidRPr="00D8231A">
        <w:rPr>
          <w:color w:val="C00000"/>
          <w:sz w:val="24"/>
        </w:rPr>
        <w:t xml:space="preserve"> - </w:t>
      </w:r>
      <w:r w:rsidRPr="00D8231A">
        <w:rPr>
          <w:color w:val="C00000"/>
        </w:rPr>
        <w:t>In everything, we will be prayed up, organized, and will execute our tasks with passion!</w:t>
      </w:r>
      <w:r w:rsidRPr="00D8231A">
        <w:rPr>
          <w:color w:val="C00000"/>
          <w:sz w:val="24"/>
        </w:rPr>
        <w:t>​</w:t>
      </w:r>
    </w:p>
    <w:p w:rsidR="00D61C1A" w:rsidRPr="007C7010" w:rsidRDefault="008D18FE" w:rsidP="00D61C1A">
      <w:pPr>
        <w:rPr>
          <w:b/>
          <w:color w:val="C00000"/>
          <w:sz w:val="24"/>
        </w:rPr>
      </w:pPr>
      <w:r w:rsidRPr="001369EF">
        <w:rPr>
          <w:b/>
          <w:sz w:val="24"/>
          <w:u w:val="single"/>
        </w:rPr>
        <w:t>Mission Message:</w:t>
      </w:r>
      <w:r w:rsidRPr="001369EF">
        <w:rPr>
          <w:sz w:val="24"/>
        </w:rPr>
        <w:t xml:space="preserve"> </w:t>
      </w:r>
      <w:r w:rsidR="00D61C1A" w:rsidRPr="00970D4C">
        <w:rPr>
          <w:color w:val="C00000"/>
          <w:sz w:val="24"/>
        </w:rPr>
        <w:t>We offer a healthier way to do life for hundreds of people living in a cycle of poverty in Toombs County and surrounding areas through transformation of heart, health and community.</w:t>
      </w:r>
      <w:r w:rsidR="00D61C1A" w:rsidRPr="007C7010">
        <w:rPr>
          <w:b/>
          <w:color w:val="C00000"/>
          <w:sz w:val="24"/>
        </w:rPr>
        <w:t xml:space="preserve"> </w:t>
      </w:r>
    </w:p>
    <w:p w:rsidR="00970D4C" w:rsidRPr="00970D4C" w:rsidRDefault="00970D4C" w:rsidP="004B5A1C">
      <w:pPr>
        <w:spacing w:after="0"/>
        <w:rPr>
          <w:b/>
          <w:sz w:val="24"/>
          <w:u w:val="single"/>
        </w:rPr>
      </w:pPr>
      <w:r w:rsidRPr="00970D4C">
        <w:rPr>
          <w:b/>
          <w:sz w:val="24"/>
          <w:u w:val="single"/>
        </w:rPr>
        <w:t>Services</w:t>
      </w:r>
      <w:r>
        <w:rPr>
          <w:b/>
          <w:sz w:val="24"/>
          <w:u w:val="single"/>
        </w:rPr>
        <w:t xml:space="preserve"> Offered</w:t>
      </w:r>
      <w:r w:rsidRPr="00970D4C">
        <w:rPr>
          <w:b/>
          <w:sz w:val="24"/>
          <w:u w:val="single"/>
        </w:rPr>
        <w:t xml:space="preserve">: </w:t>
      </w:r>
    </w:p>
    <w:p w:rsidR="00D61C1A" w:rsidRPr="007C7010" w:rsidRDefault="00D61C1A" w:rsidP="00D61C1A">
      <w:pPr>
        <w:rPr>
          <w:sz w:val="24"/>
        </w:rPr>
      </w:pPr>
      <w:r w:rsidRPr="007C7010">
        <w:rPr>
          <w:b/>
          <w:color w:val="C00000"/>
          <w:sz w:val="24"/>
        </w:rPr>
        <w:t>Transformation of the heart</w:t>
      </w:r>
      <w:r w:rsidRPr="007C7010">
        <w:rPr>
          <w:color w:val="C00000"/>
          <w:sz w:val="24"/>
        </w:rPr>
        <w:t xml:space="preserve"> </w:t>
      </w:r>
      <w:r w:rsidRPr="007C7010">
        <w:rPr>
          <w:sz w:val="24"/>
        </w:rPr>
        <w:t xml:space="preserve">encompasses everything we do at The Mercy Ministries to share the love of Christ with those we serve, including pastoral care, counseling and prayer. In fact, every morning we have prayer in the lobby at 8:30. All present staff, volunteers and patients gather in a circle, hold hands, and pray. We average 12 people in our prayer circle each day; it’s a beautiful sight to behold! </w:t>
      </w:r>
    </w:p>
    <w:p w:rsidR="00120A2C" w:rsidRDefault="00D61C1A" w:rsidP="00120A2C">
      <w:pPr>
        <w:pStyle w:val="font8"/>
        <w:spacing w:before="0" w:beforeAutospacing="0" w:after="0" w:afterAutospacing="0"/>
        <w:textAlignment w:val="baseline"/>
        <w:rPr>
          <w:rFonts w:asciiTheme="minorHAnsi" w:eastAsiaTheme="minorHAnsi" w:hAnsiTheme="minorHAnsi" w:cstheme="minorBidi"/>
          <w:szCs w:val="22"/>
        </w:rPr>
      </w:pPr>
      <w:r w:rsidRPr="007C7010">
        <w:rPr>
          <w:b/>
          <w:color w:val="C00000"/>
        </w:rPr>
        <w:t xml:space="preserve">Transformation of health </w:t>
      </w:r>
      <w:r w:rsidRPr="00D61C1A">
        <w:rPr>
          <w:rFonts w:asciiTheme="minorHAnsi" w:eastAsiaTheme="minorHAnsi" w:hAnsiTheme="minorHAnsi" w:cstheme="minorBidi"/>
          <w:szCs w:val="22"/>
        </w:rPr>
        <w:t>encompasses all the services provided at The Mercy Ministries to improve patients’ physical health including:</w:t>
      </w:r>
      <w:r w:rsidR="00120A2C">
        <w:rPr>
          <w:rFonts w:asciiTheme="minorHAnsi" w:eastAsiaTheme="minorHAnsi" w:hAnsiTheme="minorHAnsi" w:cstheme="minorBidi"/>
          <w:szCs w:val="22"/>
        </w:rPr>
        <w:t xml:space="preserve"> </w:t>
      </w:r>
      <w:r w:rsidRPr="00D61C1A">
        <w:rPr>
          <w:rFonts w:asciiTheme="minorHAnsi" w:eastAsiaTheme="minorHAnsi" w:hAnsiTheme="minorHAnsi" w:cstheme="minorBidi"/>
          <w:szCs w:val="22"/>
        </w:rPr>
        <w:t>Mercy Medical Clinic</w:t>
      </w:r>
      <w:r w:rsidR="00120A2C">
        <w:rPr>
          <w:rFonts w:asciiTheme="minorHAnsi" w:eastAsiaTheme="minorHAnsi" w:hAnsiTheme="minorHAnsi" w:cstheme="minorBidi"/>
          <w:szCs w:val="22"/>
        </w:rPr>
        <w:t xml:space="preserve"> and</w:t>
      </w:r>
      <w:r w:rsidRPr="00D61C1A">
        <w:rPr>
          <w:rFonts w:asciiTheme="minorHAnsi" w:eastAsiaTheme="minorHAnsi" w:hAnsiTheme="minorHAnsi" w:cstheme="minorBidi"/>
          <w:szCs w:val="22"/>
        </w:rPr>
        <w:t xml:space="preserve"> </w:t>
      </w:r>
      <w:r>
        <w:rPr>
          <w:rFonts w:asciiTheme="minorHAnsi" w:eastAsiaTheme="minorHAnsi" w:hAnsiTheme="minorHAnsi" w:cstheme="minorBidi"/>
          <w:szCs w:val="22"/>
        </w:rPr>
        <w:t>Mercy</w:t>
      </w:r>
      <w:r w:rsidRPr="00D61C1A">
        <w:rPr>
          <w:rFonts w:asciiTheme="minorHAnsi" w:eastAsiaTheme="minorHAnsi" w:hAnsiTheme="minorHAnsi" w:cstheme="minorBidi"/>
          <w:szCs w:val="22"/>
        </w:rPr>
        <w:t xml:space="preserve"> Dental Clinic</w:t>
      </w:r>
      <w:r w:rsidR="00120A2C">
        <w:rPr>
          <w:rFonts w:asciiTheme="minorHAnsi" w:eastAsiaTheme="minorHAnsi" w:hAnsiTheme="minorHAnsi" w:cstheme="minorBidi"/>
          <w:szCs w:val="22"/>
        </w:rPr>
        <w:t>.</w:t>
      </w:r>
      <w:r w:rsidRPr="00D61C1A">
        <w:rPr>
          <w:rFonts w:asciiTheme="minorHAnsi" w:eastAsiaTheme="minorHAnsi" w:hAnsiTheme="minorHAnsi" w:cstheme="minorBidi"/>
          <w:szCs w:val="22"/>
        </w:rPr>
        <w:t xml:space="preserve"> </w:t>
      </w:r>
    </w:p>
    <w:p w:rsidR="00120A2C" w:rsidRDefault="00120A2C" w:rsidP="00120A2C">
      <w:pPr>
        <w:pStyle w:val="font8"/>
        <w:spacing w:before="0" w:beforeAutospacing="0" w:after="0" w:afterAutospacing="0"/>
        <w:ind w:left="720"/>
        <w:textAlignment w:val="baseline"/>
        <w:rPr>
          <w:rFonts w:asciiTheme="minorHAnsi" w:hAnsiTheme="minorHAnsi" w:cstheme="minorHAnsi"/>
          <w:b/>
          <w:bdr w:val="none" w:sz="0" w:space="0" w:color="auto" w:frame="1"/>
        </w:rPr>
      </w:pPr>
      <w:r w:rsidRPr="00CC340C">
        <w:rPr>
          <w:rFonts w:asciiTheme="minorHAnsi" w:hAnsiTheme="minorHAnsi" w:cstheme="minorHAnsi"/>
          <w:b/>
          <w:bCs/>
          <w:bdr w:val="none" w:sz="0" w:space="0" w:color="auto" w:frame="1"/>
        </w:rPr>
        <w:t>Mercy Medical Clinic</w:t>
      </w:r>
      <w:r w:rsidRPr="00CC340C">
        <w:rPr>
          <w:rFonts w:asciiTheme="minorHAnsi" w:hAnsiTheme="minorHAnsi" w:cstheme="minorHAnsi"/>
          <w:b/>
          <w:bdr w:val="none" w:sz="0" w:space="0" w:color="auto" w:frame="1"/>
        </w:rPr>
        <w:t> </w:t>
      </w:r>
    </w:p>
    <w:p w:rsidR="00001C5E" w:rsidRDefault="00120A2C" w:rsidP="00001C5E">
      <w:pPr>
        <w:pStyle w:val="font8"/>
        <w:spacing w:before="0" w:beforeAutospacing="0" w:after="0" w:afterAutospacing="0"/>
        <w:ind w:left="720"/>
        <w:textAlignment w:val="baseline"/>
        <w:rPr>
          <w:rFonts w:asciiTheme="minorHAnsi" w:hAnsiTheme="minorHAnsi" w:cstheme="minorHAnsi"/>
          <w:color w:val="000000"/>
          <w:bdr w:val="none" w:sz="0" w:space="0" w:color="auto" w:frame="1"/>
        </w:rPr>
      </w:pPr>
      <w:r w:rsidRPr="00CC340C">
        <w:rPr>
          <w:rFonts w:asciiTheme="minorHAnsi" w:hAnsiTheme="minorHAnsi" w:cstheme="minorHAnsi"/>
          <w:color w:val="000000"/>
          <w:bdr w:val="none" w:sz="0" w:space="0" w:color="auto" w:frame="1"/>
        </w:rPr>
        <w:t xml:space="preserve">The Mercy Medical Clinic provides free primary medical care, access to medications, health education and specialty referrals to over 500 patients. </w:t>
      </w:r>
    </w:p>
    <w:p w:rsidR="00120A2C" w:rsidRPr="00CC340C" w:rsidRDefault="00120A2C" w:rsidP="00001C5E">
      <w:pPr>
        <w:pStyle w:val="font8"/>
        <w:numPr>
          <w:ilvl w:val="0"/>
          <w:numId w:val="6"/>
        </w:numPr>
        <w:spacing w:before="0" w:beforeAutospacing="0" w:after="0" w:afterAutospacing="0"/>
        <w:textAlignment w:val="baseline"/>
        <w:rPr>
          <w:rFonts w:asciiTheme="minorHAnsi" w:hAnsiTheme="minorHAnsi" w:cstheme="minorHAnsi"/>
          <w:color w:val="000000"/>
        </w:rPr>
      </w:pPr>
      <w:r w:rsidRPr="00CC340C">
        <w:rPr>
          <w:rFonts w:asciiTheme="minorHAnsi" w:hAnsiTheme="minorHAnsi" w:cstheme="minorHAnsi"/>
          <w:b/>
          <w:bCs/>
          <w:color w:val="000000"/>
          <w:bdr w:val="none" w:sz="0" w:space="0" w:color="auto" w:frame="1"/>
        </w:rPr>
        <w:t>M.A.P. (Medication Assistance Program)</w:t>
      </w:r>
      <w:r w:rsidRPr="00CC340C">
        <w:rPr>
          <w:rFonts w:asciiTheme="minorHAnsi" w:hAnsiTheme="minorHAnsi" w:cstheme="minorHAnsi"/>
          <w:color w:val="000000"/>
        </w:rPr>
        <w:t xml:space="preserve"> - </w:t>
      </w:r>
      <w:r w:rsidRPr="00CC340C">
        <w:rPr>
          <w:rFonts w:asciiTheme="minorHAnsi" w:hAnsiTheme="minorHAnsi" w:cstheme="minorHAnsi"/>
          <w:color w:val="000000"/>
          <w:bdr w:val="none" w:sz="0" w:space="0" w:color="auto" w:frame="1"/>
        </w:rPr>
        <w:t>Prescription medication services are needed by almost all of Mercy's patients.  M.A.P. Volunteers spend each day filling out applications to submit to pharmaceutical companies with indigent care programs in an effort to help patients get free or discounted medications.</w:t>
      </w:r>
    </w:p>
    <w:p w:rsidR="00120A2C" w:rsidRDefault="00120A2C" w:rsidP="00120A2C">
      <w:pPr>
        <w:pStyle w:val="font8"/>
        <w:numPr>
          <w:ilvl w:val="0"/>
          <w:numId w:val="2"/>
        </w:numPr>
        <w:spacing w:before="0" w:beforeAutospacing="0" w:after="0" w:afterAutospacing="0"/>
        <w:textAlignment w:val="baseline"/>
        <w:rPr>
          <w:rFonts w:asciiTheme="minorHAnsi" w:hAnsiTheme="minorHAnsi" w:cstheme="minorHAnsi"/>
          <w:color w:val="000000"/>
        </w:rPr>
      </w:pPr>
      <w:r w:rsidRPr="00CC340C">
        <w:rPr>
          <w:rFonts w:asciiTheme="minorHAnsi" w:hAnsiTheme="minorHAnsi" w:cstheme="minorHAnsi"/>
          <w:b/>
          <w:bCs/>
          <w:color w:val="000000"/>
          <w:bdr w:val="none" w:sz="0" w:space="0" w:color="auto" w:frame="1"/>
        </w:rPr>
        <w:lastRenderedPageBreak/>
        <w:t>Health Education –</w:t>
      </w:r>
      <w:r w:rsidRPr="00CC340C">
        <w:rPr>
          <w:rFonts w:asciiTheme="minorHAnsi" w:hAnsiTheme="minorHAnsi" w:cstheme="minorHAnsi"/>
          <w:color w:val="000000"/>
        </w:rPr>
        <w:t xml:space="preserve"> Health education and accountability groups are just as important as medicine in improving one’s health! That’s why Mercy Medical Clinic patients are offered classes like diabetes education, healthy lifestyles, smoking cessation and more to learn how to better take control of their health.</w:t>
      </w:r>
    </w:p>
    <w:p w:rsidR="00D61C1A" w:rsidRDefault="00120A2C" w:rsidP="00120A2C">
      <w:pPr>
        <w:pStyle w:val="font8"/>
        <w:numPr>
          <w:ilvl w:val="0"/>
          <w:numId w:val="2"/>
        </w:numPr>
        <w:spacing w:before="0" w:beforeAutospacing="0" w:after="0" w:afterAutospacing="0"/>
        <w:textAlignment w:val="baseline"/>
        <w:rPr>
          <w:rFonts w:asciiTheme="minorHAnsi" w:hAnsiTheme="minorHAnsi" w:cstheme="minorHAnsi"/>
          <w:color w:val="000000"/>
        </w:rPr>
      </w:pPr>
      <w:r w:rsidRPr="00120A2C">
        <w:rPr>
          <w:rFonts w:asciiTheme="minorHAnsi" w:hAnsiTheme="minorHAnsi" w:cstheme="minorHAnsi"/>
          <w:b/>
          <w:color w:val="000000"/>
        </w:rPr>
        <w:t>Specialty Referrals –</w:t>
      </w:r>
      <w:r w:rsidRPr="00120A2C">
        <w:rPr>
          <w:rFonts w:asciiTheme="minorHAnsi" w:hAnsiTheme="minorHAnsi" w:cstheme="minorHAnsi"/>
          <w:color w:val="000000"/>
        </w:rPr>
        <w:t xml:space="preserve"> Thanks to our wonderful partnership with Meadows Health and its Community Wellness Department, Mercy Medical Clinic patients often have access to specialty doctors, including some via the hospital’s new telemedicine program</w:t>
      </w:r>
    </w:p>
    <w:p w:rsidR="00120A2C" w:rsidRPr="00970D4C" w:rsidRDefault="00120A2C" w:rsidP="00970D4C">
      <w:pPr>
        <w:pStyle w:val="font8"/>
        <w:spacing w:before="0" w:beforeAutospacing="0" w:after="0" w:afterAutospacing="0"/>
        <w:ind w:left="720"/>
        <w:textAlignment w:val="baseline"/>
        <w:rPr>
          <w:rFonts w:asciiTheme="minorHAnsi" w:hAnsiTheme="minorHAnsi" w:cstheme="minorHAnsi"/>
          <w:b/>
          <w:bCs/>
          <w:bdr w:val="none" w:sz="0" w:space="0" w:color="auto" w:frame="1"/>
        </w:rPr>
      </w:pPr>
      <w:r w:rsidRPr="00970D4C">
        <w:rPr>
          <w:rFonts w:asciiTheme="minorHAnsi" w:hAnsiTheme="minorHAnsi" w:cstheme="minorHAnsi"/>
          <w:b/>
          <w:bCs/>
          <w:bdr w:val="none" w:sz="0" w:space="0" w:color="auto" w:frame="1"/>
        </w:rPr>
        <w:t xml:space="preserve">Mercy Dental Clinic </w:t>
      </w:r>
    </w:p>
    <w:p w:rsidR="00120A2C" w:rsidRPr="00970D4C" w:rsidRDefault="00120A2C" w:rsidP="00970D4C">
      <w:pPr>
        <w:pStyle w:val="font8"/>
        <w:spacing w:before="0" w:beforeAutospacing="0" w:after="0" w:afterAutospacing="0"/>
        <w:ind w:left="720"/>
        <w:textAlignment w:val="baseline"/>
        <w:rPr>
          <w:rFonts w:asciiTheme="minorHAnsi" w:hAnsiTheme="minorHAnsi" w:cstheme="minorHAnsi"/>
          <w:color w:val="000000"/>
          <w:bdr w:val="none" w:sz="0" w:space="0" w:color="auto" w:frame="1"/>
        </w:rPr>
      </w:pPr>
      <w:r w:rsidRPr="00970D4C">
        <w:rPr>
          <w:rFonts w:asciiTheme="minorHAnsi" w:hAnsiTheme="minorHAnsi" w:cstheme="minorHAnsi"/>
          <w:color w:val="000000"/>
          <w:bdr w:val="none" w:sz="0" w:space="0" w:color="auto" w:frame="1"/>
        </w:rPr>
        <w:t xml:space="preserve">MDC provides free emergency (extractions and fillings) and preventative dental care and oral hygiene education to the active patients of the Mercy Medical Clinic. It operates under the direction of volunteer Dental Director, Dr. Ronald O. Mosley, with a part-time dental coordinator and dental hygienist and many volunteer dentists and assistants from Toombs and surrounding communities. MDC also partners with STC’s Dental Hygiene Program for patients’ x-rays. </w:t>
      </w:r>
    </w:p>
    <w:p w:rsidR="00120A2C" w:rsidRPr="00120A2C" w:rsidRDefault="00120A2C" w:rsidP="00120A2C">
      <w:pPr>
        <w:pStyle w:val="font8"/>
        <w:spacing w:before="0" w:beforeAutospacing="0" w:after="0" w:afterAutospacing="0"/>
        <w:textAlignment w:val="baseline"/>
        <w:rPr>
          <w:rFonts w:asciiTheme="minorHAnsi" w:hAnsiTheme="minorHAnsi" w:cstheme="minorHAnsi"/>
          <w:color w:val="000000"/>
        </w:rPr>
      </w:pPr>
    </w:p>
    <w:p w:rsidR="00D61C1A" w:rsidRPr="007C7010" w:rsidRDefault="00970D4C" w:rsidP="00D61C1A">
      <w:pPr>
        <w:spacing w:after="0" w:line="240" w:lineRule="auto"/>
        <w:rPr>
          <w:sz w:val="24"/>
        </w:rPr>
      </w:pPr>
      <w:r>
        <w:rPr>
          <w:b/>
          <w:color w:val="C00000"/>
          <w:sz w:val="24"/>
        </w:rPr>
        <w:t>T</w:t>
      </w:r>
      <w:r w:rsidR="00D61C1A" w:rsidRPr="007C7010">
        <w:rPr>
          <w:b/>
          <w:color w:val="C00000"/>
          <w:sz w:val="24"/>
        </w:rPr>
        <w:t>ransformation of community</w:t>
      </w:r>
      <w:r w:rsidR="00D61C1A" w:rsidRPr="007C7010">
        <w:rPr>
          <w:color w:val="C00000"/>
          <w:sz w:val="24"/>
        </w:rPr>
        <w:t xml:space="preserve"> </w:t>
      </w:r>
      <w:r w:rsidR="00D61C1A" w:rsidRPr="007C7010">
        <w:rPr>
          <w:sz w:val="24"/>
        </w:rPr>
        <w:t xml:space="preserve">encompasses the courses offered through </w:t>
      </w:r>
      <w:r w:rsidR="00D61C1A" w:rsidRPr="00970D4C">
        <w:rPr>
          <w:b/>
          <w:sz w:val="24"/>
        </w:rPr>
        <w:t>Mercy University.</w:t>
      </w:r>
      <w:r w:rsidR="00D61C1A" w:rsidRPr="007C7010">
        <w:rPr>
          <w:sz w:val="24"/>
        </w:rPr>
        <w:t xml:space="preserve"> </w:t>
      </w:r>
      <w:r w:rsidR="00D61C1A" w:rsidRPr="00970D4C">
        <w:rPr>
          <w:sz w:val="24"/>
        </w:rPr>
        <w:t>Mercy University</w:t>
      </w:r>
      <w:r w:rsidR="00D61C1A" w:rsidRPr="007C7010">
        <w:rPr>
          <w:sz w:val="24"/>
        </w:rPr>
        <w:t xml:space="preserve"> currently offers two courses that are open to the community: Faith &amp; Finances and Work Life.  The Faith &amp; Finances class is designed to train participants in concrete money management skills such as: budgeting, managing debt, and setting savings goals.  The Work Life program teaches skills necessary to obtain a job, maintain a job and thrive in the workplace. At The Mercy Ministries, we truly believe that the cycle of poverty cannot be broken until people gain the skills needed to succeed in the workforce and then learn to live within their means. To date, we proudly boast in Jesus that 90% of our current Work Life program graduates have been placed in a job and are still working.  </w:t>
      </w:r>
    </w:p>
    <w:p w:rsidR="00D61C1A" w:rsidRDefault="00D61C1A" w:rsidP="00D61C1A">
      <w:pPr>
        <w:spacing w:after="0" w:line="240" w:lineRule="auto"/>
      </w:pPr>
    </w:p>
    <w:p w:rsidR="00D61C1A" w:rsidRPr="009123DD" w:rsidRDefault="009123DD" w:rsidP="00D61C1A">
      <w:pPr>
        <w:spacing w:after="0" w:line="240" w:lineRule="auto"/>
        <w:rPr>
          <w:color w:val="C00000"/>
          <w:sz w:val="24"/>
        </w:rPr>
      </w:pPr>
      <w:r w:rsidRPr="00B70FC4">
        <w:rPr>
          <w:b/>
          <w:sz w:val="24"/>
          <w:u w:val="single"/>
        </w:rPr>
        <w:t>What makes us unique?</w:t>
      </w:r>
      <w:r w:rsidRPr="00B70FC4">
        <w:rPr>
          <w:sz w:val="24"/>
        </w:rPr>
        <w:t xml:space="preserve"> </w:t>
      </w:r>
      <w:r w:rsidRPr="009123DD">
        <w:rPr>
          <w:color w:val="C00000"/>
          <w:sz w:val="24"/>
        </w:rPr>
        <w:t xml:space="preserve">We want to EQUIP people and NOT ENABLE them. Once an individual is out of “crisis/emergency” mode, continuing to help them without requiring anything in return, can ultimately do them more harm than good. That is why each TMM program is designed to </w:t>
      </w:r>
      <w:r w:rsidR="00D61C1A" w:rsidRPr="009123DD">
        <w:rPr>
          <w:color w:val="C00000"/>
          <w:sz w:val="24"/>
        </w:rPr>
        <w:t>give participants a “hand up” in managing their lives in order to regain their God-given dignity and self-worth as individuals, giving them the encouragement and support needed to become contributing members of society.</w:t>
      </w:r>
      <w:r w:rsidR="007A4BCE">
        <w:rPr>
          <w:color w:val="C00000"/>
          <w:sz w:val="24"/>
        </w:rPr>
        <w:t xml:space="preserve"> In addition, there is no other free or charitable clinic in the state of Ga. that integrates financial and work-readiness programs into their holistic healthcare model like we do.  </w:t>
      </w:r>
    </w:p>
    <w:p w:rsidR="007A4BCE" w:rsidRDefault="007A4BCE" w:rsidP="00D61C1A">
      <w:pPr>
        <w:rPr>
          <w:b/>
          <w:u w:val="single"/>
        </w:rPr>
      </w:pPr>
    </w:p>
    <w:p w:rsidR="009123DD" w:rsidRDefault="008052EE" w:rsidP="00D61C1A">
      <w:pPr>
        <w:rPr>
          <w:b/>
          <w:u w:val="single"/>
        </w:rPr>
      </w:pPr>
      <w:r w:rsidRPr="00B70FC4">
        <w:rPr>
          <w:b/>
          <w:noProof/>
          <w:sz w:val="24"/>
        </w:rPr>
        <mc:AlternateContent>
          <mc:Choice Requires="wps">
            <w:drawing>
              <wp:anchor distT="0" distB="0" distL="114300" distR="114300" simplePos="0" relativeHeight="251659264" behindDoc="0" locked="0" layoutInCell="1" allowOverlap="1" wp14:anchorId="7AAAC18A" wp14:editId="03CFC0B3">
                <wp:simplePos x="0" y="0"/>
                <wp:positionH relativeFrom="column">
                  <wp:posOffset>600075</wp:posOffset>
                </wp:positionH>
                <wp:positionV relativeFrom="paragraph">
                  <wp:posOffset>153670</wp:posOffset>
                </wp:positionV>
                <wp:extent cx="5781675" cy="1135380"/>
                <wp:effectExtent l="19050" t="19050" r="47625" b="457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35380"/>
                        </a:xfrm>
                        <a:prstGeom prst="leftRightArrow">
                          <a:avLst/>
                        </a:prstGeom>
                        <a:solidFill>
                          <a:schemeClr val="bg1">
                            <a:lumMod val="85000"/>
                          </a:schemeClr>
                        </a:solidFill>
                        <a:ln w="9525">
                          <a:solidFill>
                            <a:srgbClr val="000000"/>
                          </a:solidFill>
                          <a:miter lim="800000"/>
                          <a:headEnd/>
                          <a:tailEnd/>
                        </a:ln>
                      </wps:spPr>
                      <wps:txbx>
                        <w:txbxContent>
                          <w:p w:rsidR="00BC2D82" w:rsidRPr="005061C3" w:rsidRDefault="005061C3" w:rsidP="005061C3">
                            <w:pPr>
                              <w:jc w:val="center"/>
                              <w:rPr>
                                <w:b/>
                                <w:sz w:val="20"/>
                              </w:rPr>
                            </w:pPr>
                            <w:r w:rsidRPr="005061C3">
                              <w:rPr>
                                <w:b/>
                                <w:sz w:val="20"/>
                              </w:rPr>
                              <w:t xml:space="preserve">Spiritual </w:t>
                            </w:r>
                            <w:r>
                              <w:rPr>
                                <w:b/>
                                <w:sz w:val="20"/>
                              </w:rPr>
                              <w:t xml:space="preserve">and Mental </w:t>
                            </w:r>
                            <w:r w:rsidRPr="005061C3">
                              <w:rPr>
                                <w:b/>
                                <w:sz w:val="20"/>
                              </w:rPr>
                              <w:t xml:space="preserve">Wellness promoted through every stage of the process through: </w:t>
                            </w:r>
                            <w:r>
                              <w:rPr>
                                <w:b/>
                                <w:sz w:val="20"/>
                              </w:rPr>
                              <w:t xml:space="preserve">                            </w:t>
                            </w:r>
                            <w:r w:rsidRPr="005061C3">
                              <w:rPr>
                                <w:b/>
                                <w:sz w:val="20"/>
                              </w:rPr>
                              <w:t>prayer, one-on-one pastoral care, professional counseling, activities that promote positive interpersonal relationships, and promotion of the local church and Biblical community.</w:t>
                            </w:r>
                          </w:p>
                        </w:txbxContent>
                      </wps:txbx>
                      <wps:bodyPr rot="0" vert="horz" wrap="square" lIns="91440" tIns="45720" rIns="91440" bIns="45720" anchor="t" anchorCtr="0">
                        <a:noAutofit/>
                      </wps:bodyPr>
                    </wps:wsp>
                  </a:graphicData>
                </a:graphic>
              </wp:anchor>
            </w:drawing>
          </mc:Choice>
          <mc:Fallback>
            <w:pict>
              <v:shapetype w14:anchorId="0F3F282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Text Box 2" o:spid="_x0000_s1026" type="#_x0000_t69" style="position:absolute;margin-left:47.25pt;margin-top:12.1pt;width:455.25pt;height:8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" adj="2121" fillcolor="#d8d8d8 [2732]">
                <v:textbox>
                  <w:txbxContent>
                    <w:p w:rsidR="00BC2D82" w:rsidRPr="005061C3" w:rsidRDefault="005061C3" w:rsidP="005061C3">
                      <w:pPr>
                        <w:jc w:val="center"/>
                        <w:rPr>
                          <w:b/>
                          <w:sz w:val="20"/>
                        </w:rPr>
                      </w:pPr>
                      <w:r w:rsidRPr="005061C3">
                        <w:rPr>
                          <w:b/>
                          <w:sz w:val="20"/>
                        </w:rPr>
                        <w:t xml:space="preserve">Spiritual </w:t>
                      </w:r>
                      <w:r>
                        <w:rPr>
                          <w:b/>
                          <w:sz w:val="20"/>
                        </w:rPr>
                        <w:t xml:space="preserve">and Mental </w:t>
                      </w:r>
                      <w:r w:rsidRPr="005061C3">
                        <w:rPr>
                          <w:b/>
                          <w:sz w:val="20"/>
                        </w:rPr>
                        <w:t xml:space="preserve">Wellness promoted through every stage of the process through: </w:t>
                      </w:r>
                      <w:r>
                        <w:rPr>
                          <w:b/>
                          <w:sz w:val="20"/>
                        </w:rPr>
                        <w:t xml:space="preserve">                            </w:t>
                      </w:r>
                      <w:r w:rsidRPr="005061C3">
                        <w:rPr>
                          <w:b/>
                          <w:sz w:val="20"/>
                        </w:rPr>
                        <w:t>prayer, one-on-one pastoral care, professional counseling, activities that promote positive interpersonal relationships, and promotion of the local church and Biblical community.</w:t>
                      </w:r>
                    </w:p>
                  </w:txbxContent>
                </v:textbox>
              </v:shape>
            </w:pict>
          </mc:Fallback>
        </mc:AlternateContent>
      </w:r>
      <w:r w:rsidR="009123DD" w:rsidRPr="00B70FC4">
        <w:rPr>
          <w:b/>
          <w:sz w:val="24"/>
          <w:u w:val="single"/>
        </w:rPr>
        <w:t>TMM Model</w:t>
      </w:r>
      <w:r w:rsidR="009123DD">
        <w:rPr>
          <w:b/>
          <w:u w:val="single"/>
        </w:rPr>
        <w:t>:</w:t>
      </w:r>
    </w:p>
    <w:p w:rsidR="008052EE" w:rsidRDefault="008052EE" w:rsidP="009123DD">
      <w:pPr>
        <w:rPr>
          <w:b/>
        </w:rPr>
      </w:pPr>
    </w:p>
    <w:p w:rsidR="008052EE" w:rsidRDefault="008052EE" w:rsidP="009123DD">
      <w:pPr>
        <w:rPr>
          <w:b/>
        </w:rPr>
      </w:pPr>
    </w:p>
    <w:p w:rsidR="008052EE" w:rsidRDefault="008052EE" w:rsidP="009123DD">
      <w:pPr>
        <w:rPr>
          <w:b/>
        </w:rPr>
      </w:pPr>
    </w:p>
    <w:p w:rsidR="008052EE" w:rsidRDefault="008052EE" w:rsidP="009123DD">
      <w:pPr>
        <w:rPr>
          <w:b/>
        </w:rPr>
      </w:pPr>
      <w:r>
        <w:rPr>
          <w:b/>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173355</wp:posOffset>
            </wp:positionV>
            <wp:extent cx="6819900" cy="2305050"/>
            <wp:effectExtent l="0" t="19050" r="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8052EE" w:rsidRDefault="008052EE" w:rsidP="009123DD">
      <w:pPr>
        <w:rPr>
          <w:b/>
        </w:rPr>
      </w:pPr>
    </w:p>
    <w:p w:rsidR="008052EE" w:rsidRDefault="008052EE" w:rsidP="009123DD">
      <w:pPr>
        <w:rPr>
          <w:b/>
        </w:rPr>
      </w:pPr>
    </w:p>
    <w:p w:rsidR="008052EE" w:rsidRDefault="008052EE" w:rsidP="009123DD">
      <w:pPr>
        <w:rPr>
          <w:b/>
        </w:rPr>
      </w:pPr>
    </w:p>
    <w:p w:rsidR="008052EE" w:rsidRDefault="008052EE" w:rsidP="009123DD">
      <w:pPr>
        <w:rPr>
          <w:b/>
        </w:rPr>
      </w:pPr>
    </w:p>
    <w:p w:rsidR="009123DD" w:rsidRDefault="009123DD" w:rsidP="009123DD">
      <w:pPr>
        <w:rPr>
          <w:b/>
        </w:rPr>
      </w:pPr>
    </w:p>
    <w:p w:rsidR="003902FC" w:rsidRDefault="003902FC" w:rsidP="003902FC">
      <w:pPr>
        <w:rPr>
          <w:b/>
        </w:rPr>
      </w:pPr>
    </w:p>
    <w:p w:rsidR="00D92D27" w:rsidRPr="003902FC" w:rsidRDefault="003902FC" w:rsidP="003902FC">
      <w:pPr>
        <w:rPr>
          <w:b/>
        </w:rPr>
      </w:pPr>
      <w:r>
        <w:rPr>
          <w:noProof/>
        </w:rPr>
        <w:lastRenderedPageBreak/>
        <w:drawing>
          <wp:anchor distT="0" distB="0" distL="114300" distR="114300" simplePos="0" relativeHeight="251667456" behindDoc="1" locked="0" layoutInCell="1" allowOverlap="1">
            <wp:simplePos x="0" y="0"/>
            <wp:positionH relativeFrom="margin">
              <wp:align>center</wp:align>
            </wp:positionH>
            <wp:positionV relativeFrom="margin">
              <wp:posOffset>-123652</wp:posOffset>
            </wp:positionV>
            <wp:extent cx="6915150" cy="44291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915150" cy="4429125"/>
                    </a:xfrm>
                    <a:prstGeom prst="rect">
                      <a:avLst/>
                    </a:prstGeom>
                  </pic:spPr>
                </pic:pic>
              </a:graphicData>
            </a:graphic>
            <wp14:sizeRelH relativeFrom="margin">
              <wp14:pctWidth>0</wp14:pctWidth>
            </wp14:sizeRelH>
          </wp:anchor>
        </w:drawing>
      </w:r>
      <w:r w:rsidR="00D92D27" w:rsidRPr="00B70FC4">
        <w:rPr>
          <w:b/>
          <w:sz w:val="24"/>
          <w:u w:val="single"/>
        </w:rPr>
        <w:t>TMM Infrastructure</w:t>
      </w:r>
      <w:r w:rsidR="00D92D27" w:rsidRPr="00D92D27">
        <w:rPr>
          <w:b/>
          <w:u w:val="single"/>
        </w:rPr>
        <w:t>:</w:t>
      </w:r>
      <w:r w:rsidR="00F95550" w:rsidRPr="00F95550">
        <w:rPr>
          <w:noProof/>
        </w:rPr>
        <w:t xml:space="preserve"> </w:t>
      </w:r>
    </w:p>
    <w:p w:rsidR="00D92D27" w:rsidRDefault="00D92D27" w:rsidP="00D8231A">
      <w:pPr>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E65739">
      <w:pPr>
        <w:tabs>
          <w:tab w:val="left" w:pos="6525"/>
        </w:tabs>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F95550" w:rsidRDefault="00F95550" w:rsidP="004B5A1C">
      <w:pPr>
        <w:spacing w:after="0"/>
        <w:rPr>
          <w:b/>
          <w:u w:val="single"/>
        </w:rPr>
      </w:pPr>
    </w:p>
    <w:p w:rsidR="003902FC" w:rsidRDefault="003902FC" w:rsidP="00F95550">
      <w:pPr>
        <w:spacing w:after="0"/>
        <w:rPr>
          <w:b/>
          <w:sz w:val="24"/>
          <w:u w:val="single"/>
        </w:rPr>
      </w:pPr>
    </w:p>
    <w:p w:rsidR="003902FC" w:rsidRDefault="003902FC" w:rsidP="00F95550">
      <w:pPr>
        <w:spacing w:after="0"/>
        <w:rPr>
          <w:b/>
          <w:sz w:val="24"/>
          <w:u w:val="single"/>
        </w:rPr>
      </w:pPr>
    </w:p>
    <w:p w:rsidR="003902FC" w:rsidRDefault="003902FC" w:rsidP="00F95550">
      <w:pPr>
        <w:spacing w:after="0"/>
        <w:rPr>
          <w:b/>
          <w:sz w:val="24"/>
          <w:u w:val="single"/>
        </w:rPr>
      </w:pPr>
    </w:p>
    <w:p w:rsidR="003902FC" w:rsidRDefault="003902FC" w:rsidP="00F95550">
      <w:pPr>
        <w:spacing w:after="0"/>
        <w:rPr>
          <w:b/>
          <w:sz w:val="24"/>
          <w:u w:val="single"/>
        </w:rPr>
      </w:pPr>
    </w:p>
    <w:p w:rsidR="00F95550" w:rsidRPr="00B70FC4" w:rsidRDefault="00F95550" w:rsidP="00F95550">
      <w:pPr>
        <w:spacing w:after="0"/>
        <w:rPr>
          <w:b/>
          <w:sz w:val="24"/>
          <w:u w:val="single"/>
        </w:rPr>
      </w:pPr>
      <w:bookmarkStart w:id="0" w:name="_GoBack"/>
      <w:bookmarkEnd w:id="0"/>
      <w:r w:rsidRPr="00B70FC4">
        <w:rPr>
          <w:b/>
          <w:sz w:val="24"/>
          <w:u w:val="single"/>
        </w:rPr>
        <w:t xml:space="preserve">Professional Volunteers: </w:t>
      </w:r>
    </w:p>
    <w:p w:rsidR="00F95550" w:rsidRPr="00ED64E5" w:rsidRDefault="00F95550" w:rsidP="00F95550">
      <w:r>
        <w:t xml:space="preserve">TMM was first developed using the national Volunteers in Medicine (VIM) Model, which </w:t>
      </w:r>
      <w:r w:rsidRPr="00F95550">
        <w:t>promotes a “Culture of Caring” while emphasizing the use of medical and non-medical volunteers.</w:t>
      </w:r>
      <w:r>
        <w:rPr>
          <w:rFonts w:ascii="Helvetica" w:hAnsi="Helvetica" w:cs="Helvetica"/>
          <w:color w:val="666666"/>
          <w:shd w:val="clear" w:color="auto" w:fill="FFFFFF"/>
        </w:rPr>
        <w:t xml:space="preserve"> </w:t>
      </w:r>
      <w:r w:rsidRPr="00ED64E5">
        <w:t>Currently, TM</w:t>
      </w:r>
      <w:r>
        <w:t xml:space="preserve">M has 4 + medical providers, </w:t>
      </w:r>
      <w:r w:rsidRPr="00ED64E5">
        <w:t xml:space="preserve">4+ dental providers </w:t>
      </w:r>
      <w:r>
        <w:t xml:space="preserve">and 3 licensed professional counselors </w:t>
      </w:r>
      <w:r w:rsidRPr="00ED64E5">
        <w:t xml:space="preserve">from Toombs and surrounding counties, that volunteer at least 4 hours a month, helping Mercy to increase its patient capacity </w:t>
      </w:r>
      <w:r>
        <w:t>and provide services that otherwise could not be provided</w:t>
      </w:r>
      <w:r w:rsidRPr="00ED64E5">
        <w:t xml:space="preserve">. </w:t>
      </w:r>
    </w:p>
    <w:p w:rsidR="006318F8" w:rsidRPr="00B70FC4" w:rsidRDefault="006318F8" w:rsidP="004B5A1C">
      <w:pPr>
        <w:spacing w:after="0"/>
        <w:rPr>
          <w:b/>
          <w:sz w:val="24"/>
          <w:u w:val="single"/>
        </w:rPr>
      </w:pPr>
      <w:r w:rsidRPr="00B70FC4">
        <w:rPr>
          <w:b/>
          <w:sz w:val="24"/>
          <w:u w:val="single"/>
        </w:rPr>
        <w:t>Community Partners:</w:t>
      </w:r>
    </w:p>
    <w:p w:rsidR="006318F8" w:rsidRDefault="00AA5F87" w:rsidP="00AA5F87">
      <w:pPr>
        <w:pStyle w:val="ListParagraph"/>
        <w:numPr>
          <w:ilvl w:val="0"/>
          <w:numId w:val="5"/>
        </w:numPr>
      </w:pPr>
      <w:r w:rsidRPr="00F95550">
        <w:rPr>
          <w:b/>
          <w:color w:val="C00000"/>
        </w:rPr>
        <w:t xml:space="preserve">Meadows Health </w:t>
      </w:r>
      <w:r>
        <w:rPr>
          <w:b/>
        </w:rPr>
        <w:t xml:space="preserve">– </w:t>
      </w:r>
      <w:r w:rsidRPr="00DB28F6">
        <w:t>The Meadows Health system does not directly donate funds to The Mercy Ministries, but it provides $500,000 + worth of goods and services to our patients each year through lab and diagnostic testing, surgical procedures, low-cost access to specialty care physicians within the Meadows Health network of providers, and basic medical supplies. In addition, TMM works closely with the Meadows Health Community Wellness Department, providing statistical data on Mercy patients for Meadows to apply for grants r</w:t>
      </w:r>
      <w:r w:rsidR="00DB28F6" w:rsidRPr="00DB28F6">
        <w:t xml:space="preserve">elated to </w:t>
      </w:r>
      <w:r w:rsidR="00DB28F6">
        <w:t xml:space="preserve">increasing </w:t>
      </w:r>
      <w:r w:rsidR="00DB28F6" w:rsidRPr="00DB28F6">
        <w:t xml:space="preserve">access to healthcare for low-income </w:t>
      </w:r>
      <w:r w:rsidRPr="00DB28F6">
        <w:t>patients</w:t>
      </w:r>
      <w:r w:rsidR="00DB28F6" w:rsidRPr="00DB28F6">
        <w:t xml:space="preserve"> in rural communities. In return, Mercy’s patients benefit </w:t>
      </w:r>
      <w:r w:rsidR="00DB28F6">
        <w:t xml:space="preserve">greatly from </w:t>
      </w:r>
      <w:r w:rsidR="00DB28F6" w:rsidRPr="00DB28F6">
        <w:t xml:space="preserve">the grant-funded programs </w:t>
      </w:r>
      <w:r w:rsidR="00DB28F6">
        <w:t>(i.e. mammograms</w:t>
      </w:r>
      <w:r w:rsidR="00DB28F6" w:rsidRPr="00DB28F6">
        <w:t>,</w:t>
      </w:r>
      <w:r w:rsidR="00DB28F6">
        <w:t xml:space="preserve"> diabetes care management, and telemedicine for specialty care)</w:t>
      </w:r>
      <w:r w:rsidR="00DB28F6" w:rsidRPr="00DB28F6">
        <w:t xml:space="preserve"> </w:t>
      </w:r>
      <w:r w:rsidR="00DB28F6">
        <w:t>th</w:t>
      </w:r>
      <w:r w:rsidR="00DB28F6" w:rsidRPr="00DB28F6">
        <w:t xml:space="preserve">at the Community Wellness Department is rewarded. </w:t>
      </w:r>
    </w:p>
    <w:p w:rsidR="00DB28F6" w:rsidRDefault="00DB28F6" w:rsidP="00AA5F87">
      <w:pPr>
        <w:pStyle w:val="ListParagraph"/>
        <w:numPr>
          <w:ilvl w:val="0"/>
          <w:numId w:val="5"/>
        </w:numPr>
      </w:pPr>
      <w:r w:rsidRPr="00F95550">
        <w:rPr>
          <w:b/>
          <w:color w:val="C00000"/>
        </w:rPr>
        <w:t>City</w:t>
      </w:r>
      <w:r w:rsidR="00AE0C13" w:rsidRPr="00F95550">
        <w:rPr>
          <w:b/>
          <w:color w:val="C00000"/>
        </w:rPr>
        <w:t xml:space="preserve"> </w:t>
      </w:r>
      <w:r w:rsidRPr="00F95550">
        <w:rPr>
          <w:b/>
          <w:color w:val="C00000"/>
        </w:rPr>
        <w:t>Drug</w:t>
      </w:r>
      <w:r w:rsidR="00AE0C13" w:rsidRPr="00F95550">
        <w:rPr>
          <w:b/>
          <w:color w:val="C00000"/>
        </w:rPr>
        <w:t>s</w:t>
      </w:r>
      <w:r w:rsidRPr="00F95550">
        <w:rPr>
          <w:b/>
          <w:color w:val="C00000"/>
        </w:rPr>
        <w:t xml:space="preserve"> </w:t>
      </w:r>
      <w:r>
        <w:rPr>
          <w:b/>
        </w:rPr>
        <w:t xml:space="preserve">– </w:t>
      </w:r>
      <w:r w:rsidRPr="00AE0C13">
        <w:t>City</w:t>
      </w:r>
      <w:r w:rsidR="00AE0C13">
        <w:t xml:space="preserve"> </w:t>
      </w:r>
      <w:r w:rsidRPr="00AE0C13">
        <w:t>Drug</w:t>
      </w:r>
      <w:r w:rsidR="00AE0C13">
        <w:t>s</w:t>
      </w:r>
      <w:r w:rsidRPr="00AE0C13">
        <w:t xml:space="preserve"> is Mercy’s local pharmacy partner in providing low-cost, generic prescriptions and over-the-counter drugs to our patients when they cannot get their</w:t>
      </w:r>
      <w:r w:rsidR="00AE0C13" w:rsidRPr="00AE0C13">
        <w:t xml:space="preserve"> medicines</w:t>
      </w:r>
      <w:r w:rsidRPr="00AE0C13">
        <w:t xml:space="preserve"> through Mercy’s Medication Prescription Program. </w:t>
      </w:r>
    </w:p>
    <w:p w:rsidR="00AE0C13" w:rsidRDefault="00AE0C13" w:rsidP="00AA5F87">
      <w:pPr>
        <w:pStyle w:val="ListParagraph"/>
        <w:numPr>
          <w:ilvl w:val="0"/>
          <w:numId w:val="5"/>
        </w:numPr>
      </w:pPr>
      <w:r w:rsidRPr="00F95550">
        <w:rPr>
          <w:b/>
          <w:color w:val="C00000"/>
        </w:rPr>
        <w:t>Pineland Paper Company</w:t>
      </w:r>
      <w:r w:rsidRPr="00F95550">
        <w:rPr>
          <w:color w:val="C00000"/>
        </w:rPr>
        <w:t xml:space="preserve"> </w:t>
      </w:r>
      <w:r>
        <w:t>– Pineland Paper Company provides TMM with close to $2,000 worth of paper goods, office supplies and cleaning supplies each year, helping us to keep our facilities’ operating costs low.</w:t>
      </w:r>
    </w:p>
    <w:p w:rsidR="00AE0C13" w:rsidRDefault="00AE0C13" w:rsidP="00AA5F87">
      <w:pPr>
        <w:pStyle w:val="ListParagraph"/>
        <w:numPr>
          <w:ilvl w:val="0"/>
          <w:numId w:val="5"/>
        </w:numPr>
      </w:pPr>
      <w:r w:rsidRPr="00F95550">
        <w:rPr>
          <w:b/>
          <w:color w:val="C00000"/>
        </w:rPr>
        <w:t xml:space="preserve">Webster Motor Company </w:t>
      </w:r>
      <w:r>
        <w:t>– Webster Motor Company maintains TMM’s van used for patient transportation.</w:t>
      </w:r>
    </w:p>
    <w:p w:rsidR="00AE0C13" w:rsidRDefault="00AE0C13" w:rsidP="00AE0C13">
      <w:r>
        <w:t>TMM has many other community partners that provide specific services to our patients at little or no cost based on the service agreemen</w:t>
      </w:r>
      <w:r w:rsidR="00ED64E5">
        <w:t xml:space="preserve">t in place, including: </w:t>
      </w:r>
      <w:r w:rsidR="00ED64E5" w:rsidRPr="00894C5B">
        <w:rPr>
          <w:color w:val="C00000"/>
        </w:rPr>
        <w:t>Advanced Internal Medicine (Dr. Geoffrey Conner), Southeast Georgia Diagnostic and Prevention Center (Dr. Ronnie Smith)</w:t>
      </w:r>
      <w:r w:rsidR="00ED64E5">
        <w:t xml:space="preserve">, and </w:t>
      </w:r>
      <w:r w:rsidR="00ED64E5" w:rsidRPr="00894C5B">
        <w:rPr>
          <w:color w:val="C00000"/>
        </w:rPr>
        <w:t xml:space="preserve">Georgia Eye Institute (Dr. Lyn Oxley). </w:t>
      </w:r>
    </w:p>
    <w:p w:rsidR="007C1AAE" w:rsidRPr="00B70FC4" w:rsidRDefault="007C1AAE" w:rsidP="007C1AAE">
      <w:pPr>
        <w:rPr>
          <w:b/>
          <w:sz w:val="24"/>
          <w:u w:val="single"/>
        </w:rPr>
      </w:pPr>
      <w:r w:rsidRPr="00B70FC4">
        <w:rPr>
          <w:b/>
          <w:sz w:val="24"/>
          <w:u w:val="single"/>
        </w:rPr>
        <w:lastRenderedPageBreak/>
        <w:t>Current Funding Sources:</w:t>
      </w:r>
    </w:p>
    <w:p w:rsidR="007C1AAE" w:rsidRDefault="00B70FC4" w:rsidP="006318F8">
      <w:pPr>
        <w:spacing w:after="0" w:line="240" w:lineRule="auto"/>
        <w:ind w:firstLine="720"/>
        <w:rPr>
          <w:b/>
          <w:color w:val="C00000"/>
          <w:sz w:val="28"/>
        </w:rPr>
      </w:pPr>
      <w:r>
        <w:rPr>
          <w:noProof/>
        </w:rPr>
        <mc:AlternateContent>
          <mc:Choice Requires="wps">
            <w:drawing>
              <wp:anchor distT="45720" distB="45720" distL="114300" distR="114300" simplePos="0" relativeHeight="251666432" behindDoc="0" locked="0" layoutInCell="1" allowOverlap="1" wp14:anchorId="067BBBE5" wp14:editId="53E3FC35">
                <wp:simplePos x="0" y="0"/>
                <wp:positionH relativeFrom="column">
                  <wp:posOffset>2847975</wp:posOffset>
                </wp:positionH>
                <wp:positionV relativeFrom="paragraph">
                  <wp:posOffset>11430</wp:posOffset>
                </wp:positionV>
                <wp:extent cx="3921125" cy="2625725"/>
                <wp:effectExtent l="0" t="0" r="2222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1125" cy="2625725"/>
                        </a:xfrm>
                        <a:prstGeom prst="roundRect">
                          <a:avLst/>
                        </a:prstGeom>
                        <a:solidFill>
                          <a:schemeClr val="accent6">
                            <a:lumMod val="40000"/>
                            <a:lumOff val="60000"/>
                          </a:schemeClr>
                        </a:solidFill>
                        <a:ln w="9525">
                          <a:solidFill>
                            <a:srgbClr val="000000"/>
                          </a:solidFill>
                          <a:miter lim="800000"/>
                          <a:headEnd/>
                          <a:tailEnd/>
                        </a:ln>
                      </wps:spPr>
                      <wps:txbx>
                        <w:txbxContent>
                          <w:p w:rsidR="00894C5B" w:rsidRPr="00B70FC4" w:rsidRDefault="002C6619">
                            <w:pPr>
                              <w:rPr>
                                <w:b/>
                                <w:color w:val="000000" w:themeColor="text1"/>
                                <w:sz w:val="24"/>
                              </w:rPr>
                            </w:pPr>
                            <w:r w:rsidRPr="00B70FC4">
                              <w:rPr>
                                <w:b/>
                                <w:color w:val="000000" w:themeColor="text1"/>
                                <w:sz w:val="24"/>
                              </w:rPr>
                              <w:t>About Funding Received from Grants &amp; Foundations…</w:t>
                            </w:r>
                          </w:p>
                          <w:p w:rsidR="002C6619" w:rsidRPr="00B70FC4" w:rsidRDefault="002C6619">
                            <w:pPr>
                              <w:rPr>
                                <w:color w:val="000000" w:themeColor="text1"/>
                              </w:rPr>
                            </w:pPr>
                            <w:r w:rsidRPr="00B70FC4">
                              <w:rPr>
                                <w:color w:val="000000" w:themeColor="text1"/>
                              </w:rPr>
                              <w:t xml:space="preserve">TMM applies for grants related to its program areas from </w:t>
                            </w:r>
                            <w:r w:rsidRPr="00B70FC4">
                              <w:rPr>
                                <w:b/>
                                <w:color w:val="000000" w:themeColor="text1"/>
                              </w:rPr>
                              <w:t>private foundations, corporate foundations</w:t>
                            </w:r>
                            <w:r w:rsidRPr="00B70FC4">
                              <w:rPr>
                                <w:color w:val="000000" w:themeColor="text1"/>
                              </w:rPr>
                              <w:t xml:space="preserve"> </w:t>
                            </w:r>
                            <w:r w:rsidRPr="00B70FC4">
                              <w:rPr>
                                <w:b/>
                                <w:color w:val="000000" w:themeColor="text1"/>
                              </w:rPr>
                              <w:t>and association/society organizations</w:t>
                            </w:r>
                            <w:r w:rsidRPr="00B70FC4">
                              <w:rPr>
                                <w:color w:val="000000" w:themeColor="text1"/>
                              </w:rPr>
                              <w:t xml:space="preserve"> with charitable arms. TMM </w:t>
                            </w:r>
                            <w:r w:rsidRPr="00B70FC4">
                              <w:rPr>
                                <w:i/>
                                <w:color w:val="000000" w:themeColor="text1"/>
                              </w:rPr>
                              <w:t>DOES NOT</w:t>
                            </w:r>
                            <w:r w:rsidRPr="00B70FC4">
                              <w:rPr>
                                <w:color w:val="000000" w:themeColor="text1"/>
                              </w:rPr>
                              <w:t xml:space="preserve"> directly apply for any grants from the Federal Government, but</w:t>
                            </w:r>
                            <w:r w:rsidR="00B70FC4" w:rsidRPr="00B70FC4">
                              <w:rPr>
                                <w:color w:val="000000" w:themeColor="text1"/>
                              </w:rPr>
                              <w:t xml:space="preserve"> does apply for some (up to $25k</w:t>
                            </w:r>
                            <w:r w:rsidRPr="00B70FC4">
                              <w:rPr>
                                <w:color w:val="000000" w:themeColor="text1"/>
                              </w:rPr>
                              <w:t xml:space="preserve">) state funding each year through the Georgia Charitable Care Network, a non-profit entity that is comprised of a network of free and charitable clinics based in Georgia. TMM is also a United Way agency and applies for funding each year from our local United Way organization. </w:t>
                            </w:r>
                          </w:p>
                          <w:p w:rsidR="002C6619" w:rsidRPr="00B70FC4" w:rsidRDefault="002C6619">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7BBBE5" id="_x0000_s1027" style="position:absolute;left:0;text-align:left;margin-left:224.25pt;margin-top:.9pt;width:308.75pt;height:20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" fillcolor="#c5e0b3 [1305]">
                <v:stroke joinstyle="miter"/>
                <v:textbox>
                  <w:txbxContent>
                    <w:p w:rsidR="00894C5B" w:rsidRPr="00B70FC4" w:rsidRDefault="002C6619">
                      <w:pPr>
                        <w:rPr>
                          <w:b/>
                          <w:color w:val="000000" w:themeColor="text1"/>
                          <w:sz w:val="24"/>
                        </w:rPr>
                      </w:pPr>
                      <w:r w:rsidRPr="00B70FC4">
                        <w:rPr>
                          <w:b/>
                          <w:color w:val="000000" w:themeColor="text1"/>
                          <w:sz w:val="24"/>
                        </w:rPr>
                        <w:t>About Funding Received from Grants &amp; Foundations…</w:t>
                      </w:r>
                    </w:p>
                    <w:p w:rsidR="002C6619" w:rsidRPr="00B70FC4" w:rsidRDefault="002C6619">
                      <w:pPr>
                        <w:rPr>
                          <w:color w:val="000000" w:themeColor="text1"/>
                        </w:rPr>
                      </w:pPr>
                      <w:r w:rsidRPr="00B70FC4">
                        <w:rPr>
                          <w:color w:val="000000" w:themeColor="text1"/>
                        </w:rPr>
                        <w:t xml:space="preserve">TMM applies for grants related to its program areas from </w:t>
                      </w:r>
                      <w:r w:rsidRPr="00B70FC4">
                        <w:rPr>
                          <w:b/>
                          <w:color w:val="000000" w:themeColor="text1"/>
                        </w:rPr>
                        <w:t>private foundations, corporate foundations</w:t>
                      </w:r>
                      <w:r w:rsidRPr="00B70FC4">
                        <w:rPr>
                          <w:color w:val="000000" w:themeColor="text1"/>
                        </w:rPr>
                        <w:t xml:space="preserve"> </w:t>
                      </w:r>
                      <w:r w:rsidRPr="00B70FC4">
                        <w:rPr>
                          <w:b/>
                          <w:color w:val="000000" w:themeColor="text1"/>
                        </w:rPr>
                        <w:t>and association/society organizations</w:t>
                      </w:r>
                      <w:r w:rsidRPr="00B70FC4">
                        <w:rPr>
                          <w:color w:val="000000" w:themeColor="text1"/>
                        </w:rPr>
                        <w:t xml:space="preserve"> with charitable arms. TMM </w:t>
                      </w:r>
                      <w:r w:rsidRPr="00B70FC4">
                        <w:rPr>
                          <w:i/>
                          <w:color w:val="000000" w:themeColor="text1"/>
                        </w:rPr>
                        <w:t>DOES NOT</w:t>
                      </w:r>
                      <w:r w:rsidRPr="00B70FC4">
                        <w:rPr>
                          <w:color w:val="000000" w:themeColor="text1"/>
                        </w:rPr>
                        <w:t xml:space="preserve"> directly apply for any grants from the Federal Government, but</w:t>
                      </w:r>
                      <w:r w:rsidR="00B70FC4" w:rsidRPr="00B70FC4">
                        <w:rPr>
                          <w:color w:val="000000" w:themeColor="text1"/>
                        </w:rPr>
                        <w:t xml:space="preserve"> does apply for some (up to $25k</w:t>
                      </w:r>
                      <w:r w:rsidRPr="00B70FC4">
                        <w:rPr>
                          <w:color w:val="000000" w:themeColor="text1"/>
                        </w:rPr>
                        <w:t xml:space="preserve">) state funding each year through the Georgia Charitable Care Network, a non-profit entity that is comprised of a network of free and charitable clinics based in Georgia. TMM is also a United Way agency and applies for funding each year from our local United Way organization. </w:t>
                      </w:r>
                    </w:p>
                    <w:p w:rsidR="002C6619" w:rsidRPr="00B70FC4" w:rsidRDefault="002C6619">
                      <w:pPr>
                        <w:rPr>
                          <w:color w:val="000000" w:themeColor="text1"/>
                        </w:rPr>
                      </w:pPr>
                    </w:p>
                  </w:txbxContent>
                </v:textbox>
                <w10:wrap type="square"/>
              </v:roundrect>
            </w:pict>
          </mc:Fallback>
        </mc:AlternateContent>
      </w:r>
      <w:r w:rsidR="007C1AAE">
        <w:rPr>
          <w:b/>
          <w:sz w:val="28"/>
        </w:rPr>
        <w:t>2017 Revenue</w:t>
      </w:r>
      <w:r w:rsidR="007C1AAE" w:rsidRPr="007C1AAE">
        <w:rPr>
          <w:b/>
          <w:sz w:val="28"/>
        </w:rPr>
        <w:t xml:space="preserve">: </w:t>
      </w:r>
      <w:r w:rsidR="007C1AAE" w:rsidRPr="007C1AAE">
        <w:rPr>
          <w:b/>
          <w:color w:val="C00000"/>
          <w:sz w:val="28"/>
        </w:rPr>
        <w:t>$368, 594</w:t>
      </w:r>
    </w:p>
    <w:p w:rsidR="006318F8" w:rsidRDefault="006318F8" w:rsidP="007C1AAE">
      <w:pPr>
        <w:spacing w:after="0" w:line="240" w:lineRule="auto"/>
        <w:rPr>
          <w:sz w:val="20"/>
        </w:rPr>
      </w:pPr>
      <w:r w:rsidRPr="007C1AAE">
        <w:rPr>
          <w:noProof/>
          <w:sz w:val="18"/>
        </w:rPr>
        <w:drawing>
          <wp:anchor distT="0" distB="0" distL="114300" distR="114300" simplePos="0" relativeHeight="251663360" behindDoc="0" locked="0" layoutInCell="1" allowOverlap="1" wp14:anchorId="69BD80FB" wp14:editId="260A0722">
            <wp:simplePos x="0" y="0"/>
            <wp:positionH relativeFrom="column">
              <wp:posOffset>1</wp:posOffset>
            </wp:positionH>
            <wp:positionV relativeFrom="paragraph">
              <wp:posOffset>31750</wp:posOffset>
            </wp:positionV>
            <wp:extent cx="2762250" cy="2705100"/>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7C1AAE" w:rsidRPr="006318F8">
        <w:rPr>
          <w:sz w:val="20"/>
        </w:rPr>
        <w:t>(</w:t>
      </w:r>
      <w:r w:rsidRPr="006318F8">
        <w:rPr>
          <w:sz w:val="20"/>
        </w:rPr>
        <w:t>Note: This does NOT Include in-kind goods</w:t>
      </w:r>
      <w:r>
        <w:rPr>
          <w:sz w:val="20"/>
        </w:rPr>
        <w:t>/</w:t>
      </w:r>
      <w:r w:rsidRPr="006318F8">
        <w:rPr>
          <w:sz w:val="20"/>
        </w:rPr>
        <w:t>s</w:t>
      </w:r>
      <w:r w:rsidR="007C1AAE" w:rsidRPr="006318F8">
        <w:rPr>
          <w:sz w:val="20"/>
        </w:rPr>
        <w:t>ervices</w:t>
      </w:r>
    </w:p>
    <w:p w:rsidR="007C1AAE" w:rsidRDefault="006318F8" w:rsidP="007C1AAE">
      <w:pPr>
        <w:spacing w:after="0" w:line="240" w:lineRule="auto"/>
        <w:rPr>
          <w:sz w:val="20"/>
        </w:rPr>
      </w:pPr>
      <w:r>
        <w:rPr>
          <w:sz w:val="20"/>
        </w:rPr>
        <w:t xml:space="preserve"> </w:t>
      </w:r>
      <w:proofErr w:type="gramStart"/>
      <w:r w:rsidRPr="006318F8">
        <w:rPr>
          <w:sz w:val="20"/>
        </w:rPr>
        <w:t>provided</w:t>
      </w:r>
      <w:proofErr w:type="gramEnd"/>
      <w:r w:rsidRPr="006318F8">
        <w:rPr>
          <w:sz w:val="20"/>
        </w:rPr>
        <w:t xml:space="preserve"> to our p</w:t>
      </w:r>
      <w:r w:rsidR="007C1AAE" w:rsidRPr="006318F8">
        <w:rPr>
          <w:sz w:val="20"/>
        </w:rPr>
        <w:t>atients</w:t>
      </w:r>
      <w:r w:rsidRPr="006318F8">
        <w:rPr>
          <w:sz w:val="20"/>
        </w:rPr>
        <w:t xml:space="preserve"> by community partners.</w:t>
      </w:r>
      <w:r w:rsidR="007C1AAE" w:rsidRPr="006318F8">
        <w:rPr>
          <w:sz w:val="20"/>
        </w:rPr>
        <w:t>)</w:t>
      </w: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6318F8" w:rsidRDefault="006318F8" w:rsidP="007C1AAE">
      <w:pPr>
        <w:spacing w:after="0" w:line="240" w:lineRule="auto"/>
        <w:rPr>
          <w:sz w:val="20"/>
        </w:rPr>
      </w:pPr>
    </w:p>
    <w:p w:rsidR="00F95550" w:rsidRDefault="00F95550" w:rsidP="004B5A1C">
      <w:pPr>
        <w:spacing w:after="0"/>
        <w:rPr>
          <w:b/>
          <w:u w:val="single"/>
        </w:rPr>
      </w:pPr>
    </w:p>
    <w:p w:rsidR="006318F8" w:rsidRPr="00B70FC4" w:rsidRDefault="006318F8" w:rsidP="004B5A1C">
      <w:pPr>
        <w:spacing w:after="0"/>
        <w:rPr>
          <w:b/>
          <w:sz w:val="24"/>
          <w:u w:val="single"/>
        </w:rPr>
      </w:pPr>
      <w:r w:rsidRPr="00B70FC4">
        <w:rPr>
          <w:b/>
          <w:sz w:val="24"/>
          <w:u w:val="single"/>
        </w:rPr>
        <w:t>Plan for Sustainability:</w:t>
      </w:r>
    </w:p>
    <w:p w:rsidR="00C968CE" w:rsidRPr="004B5A1C" w:rsidRDefault="00C968CE" w:rsidP="004B5A1C">
      <w:pPr>
        <w:pStyle w:val="Heading3"/>
        <w:shd w:val="clear" w:color="auto" w:fill="FFFFFF"/>
        <w:spacing w:before="0" w:beforeAutospacing="0" w:after="0" w:afterAutospacing="0"/>
        <w:rPr>
          <w:rFonts w:asciiTheme="minorHAnsi" w:eastAsiaTheme="minorHAnsi" w:hAnsiTheme="minorHAnsi" w:cstheme="minorHAnsi"/>
          <w:b w:val="0"/>
          <w:bCs w:val="0"/>
          <w:sz w:val="22"/>
          <w:szCs w:val="24"/>
        </w:rPr>
      </w:pPr>
      <w:r w:rsidRPr="004B5A1C">
        <w:rPr>
          <w:rFonts w:asciiTheme="minorHAnsi" w:eastAsiaTheme="minorHAnsi" w:hAnsiTheme="minorHAnsi" w:cstheme="minorHAnsi"/>
          <w:b w:val="0"/>
          <w:bCs w:val="0"/>
          <w:sz w:val="22"/>
          <w:szCs w:val="24"/>
        </w:rPr>
        <w:t>In 2016, The Mercy Ministries adopted a strategic sustainable funding plan called the Benevon Model. The Benevon Model is a mission-centered, four-step, circular process for raising sustainable funding and major gifts from individual donors.</w:t>
      </w:r>
    </w:p>
    <w:p w:rsidR="004B5A1C" w:rsidRPr="004B5A1C" w:rsidRDefault="004B5A1C" w:rsidP="004B5A1C">
      <w:pPr>
        <w:pStyle w:val="Heading3"/>
        <w:shd w:val="clear" w:color="auto" w:fill="FFFFFF"/>
        <w:spacing w:before="0" w:beforeAutospacing="0" w:after="0" w:afterAutospacing="0"/>
        <w:rPr>
          <w:rFonts w:asciiTheme="minorHAnsi" w:eastAsiaTheme="minorHAnsi" w:hAnsiTheme="minorHAnsi" w:cstheme="minorHAnsi"/>
          <w:b w:val="0"/>
          <w:bCs w:val="0"/>
          <w:sz w:val="22"/>
          <w:szCs w:val="24"/>
        </w:rPr>
      </w:pPr>
    </w:p>
    <w:p w:rsidR="00C968CE" w:rsidRPr="00C968CE" w:rsidRDefault="00C968CE" w:rsidP="004B5A1C">
      <w:pPr>
        <w:shd w:val="clear" w:color="auto" w:fill="FFFFFF"/>
        <w:spacing w:after="0" w:line="240" w:lineRule="auto"/>
        <w:rPr>
          <w:rFonts w:eastAsia="Times New Roman" w:cstheme="minorHAnsi"/>
          <w:color w:val="000000"/>
          <w:szCs w:val="24"/>
        </w:rPr>
      </w:pPr>
      <w:r w:rsidRPr="004B5A1C">
        <w:rPr>
          <w:rFonts w:eastAsia="Times New Roman" w:cstheme="minorHAnsi"/>
          <w:b/>
          <w:bCs/>
          <w:color w:val="000000"/>
          <w:szCs w:val="24"/>
        </w:rPr>
        <w:t>Step One: The Point of Entry Event </w:t>
      </w:r>
      <w:r w:rsidR="004B5A1C">
        <w:rPr>
          <w:rFonts w:eastAsia="Times New Roman" w:cstheme="minorHAnsi"/>
          <w:b/>
          <w:bCs/>
          <w:color w:val="000000"/>
          <w:szCs w:val="24"/>
        </w:rPr>
        <w:t xml:space="preserve">- </w:t>
      </w:r>
      <w:r w:rsidRPr="00C968CE">
        <w:rPr>
          <w:rFonts w:eastAsia="Times New Roman" w:cstheme="minorHAnsi"/>
          <w:color w:val="000000"/>
          <w:szCs w:val="24"/>
        </w:rPr>
        <w:t>Potential donors get on the cycle by attending a private </w:t>
      </w:r>
      <w:r w:rsidRPr="004B5A1C">
        <w:rPr>
          <w:rFonts w:eastAsia="Times New Roman" w:cstheme="minorHAnsi"/>
          <w:b/>
          <w:bCs/>
          <w:color w:val="000000"/>
          <w:szCs w:val="24"/>
        </w:rPr>
        <w:t>Point of Entry Event</w:t>
      </w:r>
      <w:r w:rsidRPr="00C968CE">
        <w:rPr>
          <w:rFonts w:eastAsia="Times New Roman" w:cstheme="minorHAnsi"/>
          <w:color w:val="000000"/>
          <w:szCs w:val="24"/>
        </w:rPr>
        <w:t> </w:t>
      </w:r>
      <w:r w:rsidRPr="004B5A1C">
        <w:rPr>
          <w:rFonts w:eastAsia="Times New Roman" w:cstheme="minorHAnsi"/>
          <w:color w:val="000000"/>
          <w:szCs w:val="24"/>
        </w:rPr>
        <w:t xml:space="preserve">(which TMM calls “60 Minutes with Mercy”) </w:t>
      </w:r>
      <w:r w:rsidRPr="00C968CE">
        <w:rPr>
          <w:rFonts w:eastAsia="Times New Roman" w:cstheme="minorHAnsi"/>
          <w:color w:val="000000"/>
          <w:szCs w:val="24"/>
        </w:rPr>
        <w:t>at the invitation of a friend or colleague w</w:t>
      </w:r>
      <w:r w:rsidRPr="004B5A1C">
        <w:rPr>
          <w:rFonts w:eastAsia="Times New Roman" w:cstheme="minorHAnsi"/>
          <w:color w:val="000000"/>
          <w:szCs w:val="24"/>
        </w:rPr>
        <w:t xml:space="preserve">ho serves as an Ambassador for </w:t>
      </w:r>
      <w:r w:rsidRPr="00C968CE">
        <w:rPr>
          <w:rFonts w:eastAsia="Times New Roman" w:cstheme="minorHAnsi"/>
          <w:color w:val="000000"/>
          <w:szCs w:val="24"/>
        </w:rPr>
        <w:t xml:space="preserve">our organization. This succinct, one-hour introductory event educates and inspires guests with the facts and stories about </w:t>
      </w:r>
      <w:r w:rsidRPr="004B5A1C">
        <w:rPr>
          <w:rFonts w:eastAsia="Times New Roman" w:cstheme="minorHAnsi"/>
          <w:color w:val="000000"/>
          <w:szCs w:val="24"/>
        </w:rPr>
        <w:t xml:space="preserve">TMM’s work, focusing on </w:t>
      </w:r>
      <w:r w:rsidRPr="00C968CE">
        <w:rPr>
          <w:rFonts w:eastAsia="Times New Roman" w:cstheme="minorHAnsi"/>
          <w:color w:val="000000"/>
          <w:szCs w:val="24"/>
        </w:rPr>
        <w:t>our three overarching areas of impact and capturing each guest's name with permission.</w:t>
      </w:r>
    </w:p>
    <w:p w:rsidR="00C968CE" w:rsidRPr="00C968CE" w:rsidRDefault="00C968CE" w:rsidP="004B5A1C">
      <w:pPr>
        <w:shd w:val="clear" w:color="auto" w:fill="FFFFFF"/>
        <w:spacing w:after="0" w:line="240" w:lineRule="auto"/>
        <w:jc w:val="center"/>
        <w:rPr>
          <w:rFonts w:eastAsia="Times New Roman" w:cstheme="minorHAnsi"/>
          <w:color w:val="000000"/>
          <w:szCs w:val="24"/>
        </w:rPr>
      </w:pPr>
    </w:p>
    <w:p w:rsidR="00C968CE" w:rsidRPr="00C968CE" w:rsidRDefault="00C968CE" w:rsidP="004B5A1C">
      <w:pPr>
        <w:shd w:val="clear" w:color="auto" w:fill="FFFFFF"/>
        <w:spacing w:after="0" w:line="240" w:lineRule="auto"/>
        <w:rPr>
          <w:rFonts w:eastAsia="Times New Roman" w:cstheme="minorHAnsi"/>
          <w:color w:val="000000"/>
          <w:szCs w:val="24"/>
        </w:rPr>
      </w:pPr>
      <w:r w:rsidRPr="004B5A1C">
        <w:rPr>
          <w:rFonts w:eastAsia="Times New Roman" w:cstheme="minorHAnsi"/>
          <w:b/>
          <w:bCs/>
          <w:color w:val="000000"/>
          <w:szCs w:val="24"/>
        </w:rPr>
        <w:t>Step Two: Follow Up and Involve</w:t>
      </w:r>
      <w:r w:rsidR="004B5A1C">
        <w:rPr>
          <w:rFonts w:eastAsia="Times New Roman" w:cstheme="minorHAnsi"/>
          <w:b/>
          <w:bCs/>
          <w:color w:val="000000"/>
          <w:szCs w:val="24"/>
        </w:rPr>
        <w:t xml:space="preserve"> or Bless and Release - </w:t>
      </w:r>
      <w:r w:rsidRPr="00C968CE">
        <w:rPr>
          <w:rFonts w:eastAsia="Times New Roman" w:cstheme="minorHAnsi"/>
          <w:color w:val="000000"/>
          <w:szCs w:val="24"/>
        </w:rPr>
        <w:t>Guests then receive a personal </w:t>
      </w:r>
      <w:r w:rsidRPr="004B5A1C">
        <w:rPr>
          <w:rFonts w:eastAsia="Times New Roman" w:cstheme="minorHAnsi"/>
          <w:b/>
          <w:bCs/>
          <w:color w:val="000000"/>
          <w:szCs w:val="24"/>
        </w:rPr>
        <w:t>Follow-Up Call</w:t>
      </w:r>
      <w:r w:rsidRPr="00C968CE">
        <w:rPr>
          <w:rFonts w:eastAsia="Times New Roman" w:cstheme="minorHAnsi"/>
          <w:color w:val="000000"/>
          <w:szCs w:val="24"/>
        </w:rPr>
        <w:t xml:space="preserve"> to solicit their feedback and see if they would like to become involved in any way, ideally by becoming an Ambassador and hosting a private </w:t>
      </w:r>
      <w:r w:rsidRPr="004B5A1C">
        <w:rPr>
          <w:rFonts w:eastAsia="Times New Roman" w:cstheme="minorHAnsi"/>
          <w:color w:val="000000"/>
          <w:szCs w:val="24"/>
        </w:rPr>
        <w:t>“60 Minutes with Mercy” tour.</w:t>
      </w:r>
      <w:r w:rsidRPr="00C968CE">
        <w:rPr>
          <w:rFonts w:eastAsia="Times New Roman" w:cstheme="minorHAnsi"/>
          <w:color w:val="000000"/>
          <w:szCs w:val="24"/>
        </w:rPr>
        <w:t xml:space="preserve"> Those guests who are int</w:t>
      </w:r>
      <w:r w:rsidRPr="004B5A1C">
        <w:rPr>
          <w:rFonts w:eastAsia="Times New Roman" w:cstheme="minorHAnsi"/>
          <w:color w:val="000000"/>
          <w:szCs w:val="24"/>
        </w:rPr>
        <w:t xml:space="preserve">erested in learning more about </w:t>
      </w:r>
      <w:r w:rsidRPr="00C968CE">
        <w:rPr>
          <w:rFonts w:eastAsia="Times New Roman" w:cstheme="minorHAnsi"/>
          <w:color w:val="000000"/>
          <w:szCs w:val="24"/>
        </w:rPr>
        <w:t>our organization are </w:t>
      </w:r>
      <w:r w:rsidRPr="004B5A1C">
        <w:rPr>
          <w:rFonts w:eastAsia="Times New Roman" w:cstheme="minorHAnsi"/>
          <w:b/>
          <w:bCs/>
          <w:color w:val="000000"/>
          <w:szCs w:val="24"/>
        </w:rPr>
        <w:t>involved and cultivated personally</w:t>
      </w:r>
      <w:r w:rsidRPr="00C968CE">
        <w:rPr>
          <w:rFonts w:eastAsia="Times New Roman" w:cstheme="minorHAnsi"/>
          <w:color w:val="000000"/>
          <w:szCs w:val="24"/>
        </w:rPr>
        <w:t> in whatever way they prefer.</w:t>
      </w:r>
      <w:r w:rsidR="004B5A1C">
        <w:rPr>
          <w:rFonts w:eastAsia="Times New Roman" w:cstheme="minorHAnsi"/>
          <w:color w:val="000000"/>
          <w:szCs w:val="24"/>
        </w:rPr>
        <w:t xml:space="preserve"> </w:t>
      </w:r>
      <w:r w:rsidRPr="00C968CE">
        <w:rPr>
          <w:rFonts w:eastAsia="Times New Roman" w:cstheme="minorHAnsi"/>
          <w:color w:val="000000"/>
          <w:szCs w:val="24"/>
        </w:rPr>
        <w:t>In the Follow-Up Call, Point of Entry guests who are not interested in learning more about your organization are let off the hook completely. This </w:t>
      </w:r>
      <w:r w:rsidRPr="004B5A1C">
        <w:rPr>
          <w:rFonts w:eastAsia="Times New Roman" w:cstheme="minorHAnsi"/>
          <w:b/>
          <w:bCs/>
          <w:color w:val="000000"/>
          <w:szCs w:val="24"/>
        </w:rPr>
        <w:t>"Bless and Release"</w:t>
      </w:r>
      <w:r w:rsidRPr="00C968CE">
        <w:rPr>
          <w:rFonts w:eastAsia="Times New Roman" w:cstheme="minorHAnsi"/>
          <w:color w:val="000000"/>
          <w:szCs w:val="24"/>
        </w:rPr>
        <w:t> will pleasantly disarm people and, paradoxically, allow them to suggest others who would be interested in attending a future</w:t>
      </w:r>
      <w:r w:rsidRPr="004B5A1C">
        <w:rPr>
          <w:rFonts w:eastAsia="Times New Roman" w:cstheme="minorHAnsi"/>
          <w:color w:val="000000"/>
          <w:szCs w:val="24"/>
        </w:rPr>
        <w:t>”60 Minute with Mercy” tour</w:t>
      </w:r>
      <w:r w:rsidRPr="00C968CE">
        <w:rPr>
          <w:rFonts w:eastAsia="Times New Roman" w:cstheme="minorHAnsi"/>
          <w:color w:val="000000"/>
          <w:szCs w:val="24"/>
        </w:rPr>
        <w:t>.</w:t>
      </w:r>
    </w:p>
    <w:p w:rsidR="004B5A1C" w:rsidRDefault="004B5A1C" w:rsidP="004B5A1C">
      <w:pPr>
        <w:shd w:val="clear" w:color="auto" w:fill="FFFFFF"/>
        <w:spacing w:after="0" w:line="240" w:lineRule="auto"/>
        <w:rPr>
          <w:rFonts w:eastAsia="Times New Roman" w:cstheme="minorHAnsi"/>
          <w:b/>
          <w:bCs/>
          <w:color w:val="000000"/>
          <w:szCs w:val="24"/>
        </w:rPr>
      </w:pPr>
    </w:p>
    <w:p w:rsidR="00C968CE" w:rsidRDefault="00C968CE" w:rsidP="004B5A1C">
      <w:pPr>
        <w:shd w:val="clear" w:color="auto" w:fill="FFFFFF"/>
        <w:spacing w:after="0" w:line="240" w:lineRule="auto"/>
        <w:rPr>
          <w:rFonts w:eastAsia="Times New Roman" w:cstheme="minorHAnsi"/>
          <w:color w:val="000000"/>
          <w:szCs w:val="24"/>
        </w:rPr>
      </w:pPr>
      <w:r w:rsidRPr="004B5A1C">
        <w:rPr>
          <w:rFonts w:eastAsia="Times New Roman" w:cstheme="minorHAnsi"/>
          <w:b/>
          <w:bCs/>
          <w:color w:val="000000"/>
          <w:szCs w:val="24"/>
        </w:rPr>
        <w:t>Step Three: Asking for Money</w:t>
      </w:r>
      <w:r w:rsidR="004B5A1C">
        <w:rPr>
          <w:rFonts w:eastAsia="Times New Roman" w:cstheme="minorHAnsi"/>
          <w:b/>
          <w:bCs/>
          <w:color w:val="000000"/>
          <w:szCs w:val="24"/>
        </w:rPr>
        <w:t xml:space="preserve"> - </w:t>
      </w:r>
      <w:r w:rsidRPr="00C968CE">
        <w:rPr>
          <w:rFonts w:eastAsia="Times New Roman" w:cstheme="minorHAnsi"/>
          <w:color w:val="000000"/>
          <w:szCs w:val="24"/>
        </w:rPr>
        <w:t>After several personal cultivation contacts to more deeply connect guests to their area of greatest interest, many Point of Entry guests will be ready to be asked for money, either one-on-one or at a Benevon Free One-Hour Ask Event.</w:t>
      </w:r>
      <w:r w:rsidR="004B5A1C">
        <w:rPr>
          <w:rFonts w:eastAsia="Times New Roman" w:cstheme="minorHAnsi"/>
          <w:color w:val="000000"/>
          <w:szCs w:val="24"/>
        </w:rPr>
        <w:t xml:space="preserve"> </w:t>
      </w:r>
      <w:r w:rsidRPr="00C968CE">
        <w:rPr>
          <w:rFonts w:eastAsia="Times New Roman" w:cstheme="minorHAnsi"/>
          <w:color w:val="000000"/>
          <w:szCs w:val="24"/>
        </w:rPr>
        <w:t>The </w:t>
      </w:r>
      <w:r w:rsidRPr="004B5A1C">
        <w:rPr>
          <w:rFonts w:eastAsia="Times New Roman" w:cstheme="minorHAnsi"/>
          <w:b/>
          <w:bCs/>
          <w:color w:val="000000"/>
          <w:szCs w:val="24"/>
        </w:rPr>
        <w:t>Free One-Hour Ask Event</w:t>
      </w:r>
      <w:r w:rsidRPr="00C968CE">
        <w:rPr>
          <w:rFonts w:eastAsia="Times New Roman" w:cstheme="minorHAnsi"/>
          <w:color w:val="000000"/>
          <w:szCs w:val="24"/>
        </w:rPr>
        <w:t xml:space="preserve"> is a signature Benevon event. After being cultivated extensively in the months before the event, guests are invited by their Ambassador to attend an inspiring, mission-focused, one-hour free breakfast or lunch fundraising event. At the end of this event, guests are invited to join </w:t>
      </w:r>
      <w:r w:rsidR="004B5A1C" w:rsidRPr="004B5A1C">
        <w:rPr>
          <w:rFonts w:eastAsia="Times New Roman" w:cstheme="minorHAnsi"/>
          <w:color w:val="000000"/>
          <w:szCs w:val="24"/>
        </w:rPr>
        <w:t>TMM’s</w:t>
      </w:r>
      <w:r w:rsidRPr="00C968CE">
        <w:rPr>
          <w:rFonts w:eastAsia="Times New Roman" w:cstheme="minorHAnsi"/>
          <w:color w:val="000000"/>
          <w:szCs w:val="24"/>
        </w:rPr>
        <w:t> </w:t>
      </w:r>
      <w:r w:rsidRPr="004B5A1C">
        <w:rPr>
          <w:rFonts w:eastAsia="Times New Roman" w:cstheme="minorHAnsi"/>
          <w:b/>
          <w:bCs/>
          <w:color w:val="000000"/>
          <w:szCs w:val="24"/>
        </w:rPr>
        <w:t>Multiple-Year Giving Society</w:t>
      </w:r>
      <w:r w:rsidRPr="00C968CE">
        <w:rPr>
          <w:rFonts w:eastAsia="Times New Roman" w:cstheme="minorHAnsi"/>
          <w:color w:val="000000"/>
          <w:szCs w:val="24"/>
        </w:rPr>
        <w:t xml:space="preserve"> by making a gift of at least $1,000 per year for the next five years. The Free One-Hour Ask Event differs from other, more traditional, fundraising events in that all Table Captains have been Ambassadors in the prior year and their guests will have attended a </w:t>
      </w:r>
      <w:r w:rsidR="004B5A1C" w:rsidRPr="004B5A1C">
        <w:rPr>
          <w:rFonts w:eastAsia="Times New Roman" w:cstheme="minorHAnsi"/>
          <w:color w:val="000000"/>
          <w:szCs w:val="24"/>
        </w:rPr>
        <w:t>“60 Minute with Mercy” tour</w:t>
      </w:r>
      <w:r w:rsidRPr="00C968CE">
        <w:rPr>
          <w:rFonts w:eastAsia="Times New Roman" w:cstheme="minorHAnsi"/>
          <w:color w:val="000000"/>
          <w:szCs w:val="24"/>
        </w:rPr>
        <w:t>. Also, the Ask Event is free to attend, and there is no obligation for guests to give.</w:t>
      </w:r>
    </w:p>
    <w:p w:rsidR="004B5A1C" w:rsidRPr="00C968CE" w:rsidRDefault="004B5A1C" w:rsidP="004B5A1C">
      <w:pPr>
        <w:shd w:val="clear" w:color="auto" w:fill="FFFFFF"/>
        <w:spacing w:after="0" w:line="240" w:lineRule="auto"/>
        <w:rPr>
          <w:rFonts w:eastAsia="Times New Roman" w:cstheme="minorHAnsi"/>
          <w:color w:val="000000"/>
          <w:szCs w:val="24"/>
        </w:rPr>
      </w:pPr>
    </w:p>
    <w:p w:rsidR="006318F8" w:rsidRPr="00AE0C13" w:rsidRDefault="00C968CE" w:rsidP="00AE0C13">
      <w:pPr>
        <w:shd w:val="clear" w:color="auto" w:fill="FFFFFF"/>
        <w:spacing w:after="0" w:line="240" w:lineRule="auto"/>
        <w:rPr>
          <w:rFonts w:eastAsia="Times New Roman" w:cstheme="minorHAnsi"/>
          <w:color w:val="000000"/>
          <w:szCs w:val="24"/>
        </w:rPr>
      </w:pPr>
      <w:r w:rsidRPr="004B5A1C">
        <w:rPr>
          <w:rFonts w:eastAsia="Times New Roman" w:cstheme="minorHAnsi"/>
          <w:b/>
          <w:bCs/>
          <w:color w:val="000000"/>
          <w:szCs w:val="24"/>
        </w:rPr>
        <w:t>Step Four: Introducing Others</w:t>
      </w:r>
      <w:r w:rsidR="004B5A1C">
        <w:rPr>
          <w:rFonts w:eastAsia="Times New Roman" w:cstheme="minorHAnsi"/>
          <w:b/>
          <w:bCs/>
          <w:color w:val="000000"/>
          <w:szCs w:val="24"/>
        </w:rPr>
        <w:t xml:space="preserve"> - </w:t>
      </w:r>
      <w:r w:rsidRPr="00C968CE">
        <w:rPr>
          <w:rFonts w:eastAsia="Times New Roman" w:cstheme="minorHAnsi"/>
          <w:color w:val="000000"/>
          <w:szCs w:val="24"/>
        </w:rPr>
        <w:t>Finally, donors are re-connected to the mission of your organization at program-related </w:t>
      </w:r>
      <w:r w:rsidRPr="004B5A1C">
        <w:rPr>
          <w:rFonts w:eastAsia="Times New Roman" w:cstheme="minorHAnsi"/>
          <w:b/>
          <w:bCs/>
          <w:color w:val="000000"/>
          <w:szCs w:val="24"/>
        </w:rPr>
        <w:t>Benevon Free Feel-Good Cultivation Events</w:t>
      </w:r>
      <w:r w:rsidR="004B5A1C" w:rsidRPr="004B5A1C">
        <w:rPr>
          <w:rFonts w:eastAsia="Times New Roman" w:cstheme="minorHAnsi"/>
          <w:b/>
          <w:bCs/>
          <w:color w:val="000000"/>
          <w:szCs w:val="24"/>
        </w:rPr>
        <w:t xml:space="preserve"> (like Mercy University Graduations)</w:t>
      </w:r>
      <w:r w:rsidRPr="00C968CE">
        <w:rPr>
          <w:rFonts w:eastAsia="Times New Roman" w:cstheme="minorHAnsi"/>
          <w:color w:val="000000"/>
          <w:szCs w:val="24"/>
        </w:rPr>
        <w:t>, and are encouraged to introduce others to your organization by becoming Ambassadors and hosting their own Point of Entry Events the next year.</w:t>
      </w:r>
    </w:p>
    <w:sectPr w:rsidR="006318F8" w:rsidRPr="00AE0C13" w:rsidSect="001369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panose1 w:val="00000000000000000000"/>
    <w:charset w:val="00"/>
    <w:family w:val="swiss"/>
    <w:notTrueType/>
    <w:pitch w:val="variable"/>
    <w:sig w:usb0="A00002AF" w:usb1="5000204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648F0"/>
    <w:multiLevelType w:val="hybridMultilevel"/>
    <w:tmpl w:val="C894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F9578B"/>
    <w:multiLevelType w:val="multilevel"/>
    <w:tmpl w:val="84A41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2A4628"/>
    <w:multiLevelType w:val="hybridMultilevel"/>
    <w:tmpl w:val="6346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8019A"/>
    <w:multiLevelType w:val="hybridMultilevel"/>
    <w:tmpl w:val="50F08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014CFD"/>
    <w:multiLevelType w:val="hybridMultilevel"/>
    <w:tmpl w:val="856E3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C82998"/>
    <w:multiLevelType w:val="hybridMultilevel"/>
    <w:tmpl w:val="BF92D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61"/>
    <w:rsid w:val="00001C5E"/>
    <w:rsid w:val="00053408"/>
    <w:rsid w:val="0005731D"/>
    <w:rsid w:val="00120A2C"/>
    <w:rsid w:val="001369EF"/>
    <w:rsid w:val="001A2B4A"/>
    <w:rsid w:val="001A4C2D"/>
    <w:rsid w:val="002C6619"/>
    <w:rsid w:val="0036646D"/>
    <w:rsid w:val="003902FC"/>
    <w:rsid w:val="004465C1"/>
    <w:rsid w:val="004B5A1C"/>
    <w:rsid w:val="004E5D3D"/>
    <w:rsid w:val="005061C3"/>
    <w:rsid w:val="006318F8"/>
    <w:rsid w:val="007A4BCE"/>
    <w:rsid w:val="007C1AAE"/>
    <w:rsid w:val="008052EE"/>
    <w:rsid w:val="00815261"/>
    <w:rsid w:val="008157F6"/>
    <w:rsid w:val="0086158F"/>
    <w:rsid w:val="00894C5B"/>
    <w:rsid w:val="008D18FE"/>
    <w:rsid w:val="00901D82"/>
    <w:rsid w:val="009123DD"/>
    <w:rsid w:val="00957164"/>
    <w:rsid w:val="00970D4C"/>
    <w:rsid w:val="009A1466"/>
    <w:rsid w:val="00AA5F87"/>
    <w:rsid w:val="00AE0C13"/>
    <w:rsid w:val="00B70FC4"/>
    <w:rsid w:val="00BC2D82"/>
    <w:rsid w:val="00C968CE"/>
    <w:rsid w:val="00CE34FD"/>
    <w:rsid w:val="00D61C1A"/>
    <w:rsid w:val="00D8231A"/>
    <w:rsid w:val="00D92D27"/>
    <w:rsid w:val="00DB28F6"/>
    <w:rsid w:val="00E65739"/>
    <w:rsid w:val="00EA539D"/>
    <w:rsid w:val="00ED64E5"/>
    <w:rsid w:val="00F95550"/>
    <w:rsid w:val="00FD1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05119-0ADA-4681-AB80-5555B665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61"/>
  </w:style>
  <w:style w:type="paragraph" w:styleId="Heading3">
    <w:name w:val="heading 3"/>
    <w:basedOn w:val="Normal"/>
    <w:link w:val="Heading3Char"/>
    <w:uiPriority w:val="9"/>
    <w:qFormat/>
    <w:rsid w:val="00C968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61"/>
    <w:rPr>
      <w:rFonts w:ascii="Segoe UI" w:hAnsi="Segoe UI" w:cs="Segoe UI"/>
      <w:sz w:val="18"/>
      <w:szCs w:val="18"/>
    </w:rPr>
  </w:style>
  <w:style w:type="paragraph" w:styleId="ListParagraph">
    <w:name w:val="List Paragraph"/>
    <w:basedOn w:val="Normal"/>
    <w:uiPriority w:val="34"/>
    <w:qFormat/>
    <w:rsid w:val="001369EF"/>
    <w:pPr>
      <w:spacing w:after="200" w:line="276" w:lineRule="auto"/>
      <w:ind w:left="720"/>
      <w:contextualSpacing/>
    </w:pPr>
  </w:style>
  <w:style w:type="paragraph" w:customStyle="1" w:styleId="font8">
    <w:name w:val="font_8"/>
    <w:basedOn w:val="Normal"/>
    <w:rsid w:val="00D61C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968CE"/>
    <w:rPr>
      <w:rFonts w:ascii="Times New Roman" w:eastAsia="Times New Roman" w:hAnsi="Times New Roman" w:cs="Times New Roman"/>
      <w:b/>
      <w:bCs/>
      <w:sz w:val="27"/>
      <w:szCs w:val="27"/>
    </w:rPr>
  </w:style>
  <w:style w:type="character" w:styleId="Emphasis">
    <w:name w:val="Emphasis"/>
    <w:basedOn w:val="DefaultParagraphFont"/>
    <w:uiPriority w:val="20"/>
    <w:qFormat/>
    <w:rsid w:val="00C968CE"/>
    <w:rPr>
      <w:i/>
      <w:iCs/>
    </w:rPr>
  </w:style>
  <w:style w:type="paragraph" w:styleId="NormalWeb">
    <w:name w:val="Normal (Web)"/>
    <w:basedOn w:val="Normal"/>
    <w:uiPriority w:val="99"/>
    <w:semiHidden/>
    <w:unhideWhenUsed/>
    <w:rsid w:val="00C968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68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6050">
      <w:bodyDiv w:val="1"/>
      <w:marLeft w:val="0"/>
      <w:marRight w:val="0"/>
      <w:marTop w:val="0"/>
      <w:marBottom w:val="0"/>
      <w:divBdr>
        <w:top w:val="none" w:sz="0" w:space="0" w:color="auto"/>
        <w:left w:val="none" w:sz="0" w:space="0" w:color="auto"/>
        <w:bottom w:val="none" w:sz="0" w:space="0" w:color="auto"/>
        <w:right w:val="none" w:sz="0" w:space="0" w:color="auto"/>
      </w:divBdr>
    </w:div>
    <w:div w:id="269317843">
      <w:bodyDiv w:val="1"/>
      <w:marLeft w:val="0"/>
      <w:marRight w:val="0"/>
      <w:marTop w:val="0"/>
      <w:marBottom w:val="0"/>
      <w:divBdr>
        <w:top w:val="none" w:sz="0" w:space="0" w:color="auto"/>
        <w:left w:val="none" w:sz="0" w:space="0" w:color="auto"/>
        <w:bottom w:val="none" w:sz="0" w:space="0" w:color="auto"/>
        <w:right w:val="none" w:sz="0" w:space="0" w:color="auto"/>
      </w:divBdr>
    </w:div>
    <w:div w:id="1690401943">
      <w:bodyDiv w:val="1"/>
      <w:marLeft w:val="0"/>
      <w:marRight w:val="0"/>
      <w:marTop w:val="0"/>
      <w:marBottom w:val="0"/>
      <w:divBdr>
        <w:top w:val="none" w:sz="0" w:space="0" w:color="auto"/>
        <w:left w:val="none" w:sz="0" w:space="0" w:color="auto"/>
        <w:bottom w:val="none" w:sz="0" w:space="0" w:color="auto"/>
        <w:right w:val="none" w:sz="0" w:space="0" w:color="auto"/>
      </w:divBdr>
      <w:divsChild>
        <w:div w:id="2046250533">
          <w:marLeft w:val="0"/>
          <w:marRight w:val="0"/>
          <w:marTop w:val="0"/>
          <w:marBottom w:val="0"/>
          <w:divBdr>
            <w:top w:val="none" w:sz="0" w:space="0" w:color="auto"/>
            <w:left w:val="none" w:sz="0" w:space="0" w:color="auto"/>
            <w:bottom w:val="none" w:sz="0" w:space="0" w:color="auto"/>
            <w:right w:val="none" w:sz="0" w:space="0" w:color="auto"/>
          </w:divBdr>
          <w:divsChild>
            <w:div w:id="1285308063">
              <w:marLeft w:val="0"/>
              <w:marRight w:val="0"/>
              <w:marTop w:val="0"/>
              <w:marBottom w:val="0"/>
              <w:divBdr>
                <w:top w:val="none" w:sz="0" w:space="0" w:color="auto"/>
                <w:left w:val="none" w:sz="0" w:space="0" w:color="auto"/>
                <w:bottom w:val="none" w:sz="0" w:space="0" w:color="auto"/>
                <w:right w:val="none" w:sz="0" w:space="0" w:color="auto"/>
              </w:divBdr>
              <w:divsChild>
                <w:div w:id="1410425962">
                  <w:marLeft w:val="0"/>
                  <w:marRight w:val="0"/>
                  <w:marTop w:val="0"/>
                  <w:marBottom w:val="0"/>
                  <w:divBdr>
                    <w:top w:val="none" w:sz="0" w:space="0" w:color="auto"/>
                    <w:left w:val="none" w:sz="0" w:space="0" w:color="auto"/>
                    <w:bottom w:val="none" w:sz="0" w:space="0" w:color="auto"/>
                    <w:right w:val="none" w:sz="0" w:space="0" w:color="auto"/>
                  </w:divBdr>
                  <w:divsChild>
                    <w:div w:id="1163282653">
                      <w:marLeft w:val="0"/>
                      <w:marRight w:val="0"/>
                      <w:marTop w:val="0"/>
                      <w:marBottom w:val="0"/>
                      <w:divBdr>
                        <w:top w:val="none" w:sz="0" w:space="0" w:color="auto"/>
                        <w:left w:val="none" w:sz="0" w:space="0" w:color="auto"/>
                        <w:bottom w:val="none" w:sz="0" w:space="0" w:color="auto"/>
                        <w:right w:val="none" w:sz="0" w:space="0" w:color="auto"/>
                      </w:divBdr>
                      <w:divsChild>
                        <w:div w:id="1310548243">
                          <w:marLeft w:val="300"/>
                          <w:marRight w:val="300"/>
                          <w:marTop w:val="300"/>
                          <w:marBottom w:val="0"/>
                          <w:divBdr>
                            <w:top w:val="none" w:sz="0" w:space="0" w:color="auto"/>
                            <w:left w:val="none" w:sz="0" w:space="0" w:color="auto"/>
                            <w:bottom w:val="none" w:sz="0" w:space="0" w:color="auto"/>
                            <w:right w:val="none" w:sz="0" w:space="0" w:color="auto"/>
                          </w:divBdr>
                          <w:divsChild>
                            <w:div w:id="4029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569288">
              <w:marLeft w:val="0"/>
              <w:marRight w:val="0"/>
              <w:marTop w:val="0"/>
              <w:marBottom w:val="0"/>
              <w:divBdr>
                <w:top w:val="none" w:sz="0" w:space="0" w:color="auto"/>
                <w:left w:val="none" w:sz="0" w:space="0" w:color="auto"/>
                <w:bottom w:val="none" w:sz="0" w:space="0" w:color="auto"/>
                <w:right w:val="none" w:sz="0" w:space="0" w:color="auto"/>
              </w:divBdr>
              <w:divsChild>
                <w:div w:id="16935581">
                  <w:marLeft w:val="0"/>
                  <w:marRight w:val="0"/>
                  <w:marTop w:val="0"/>
                  <w:marBottom w:val="0"/>
                  <w:divBdr>
                    <w:top w:val="none" w:sz="0" w:space="0" w:color="auto"/>
                    <w:left w:val="none" w:sz="0" w:space="0" w:color="auto"/>
                    <w:bottom w:val="none" w:sz="0" w:space="0" w:color="auto"/>
                    <w:right w:val="none" w:sz="0" w:space="0" w:color="auto"/>
                  </w:divBdr>
                  <w:divsChild>
                    <w:div w:id="695500649">
                      <w:marLeft w:val="0"/>
                      <w:marRight w:val="0"/>
                      <w:marTop w:val="0"/>
                      <w:marBottom w:val="0"/>
                      <w:divBdr>
                        <w:top w:val="none" w:sz="0" w:space="0" w:color="auto"/>
                        <w:left w:val="none" w:sz="0" w:space="0" w:color="auto"/>
                        <w:bottom w:val="none" w:sz="0" w:space="0" w:color="auto"/>
                        <w:right w:val="none" w:sz="0" w:space="0" w:color="auto"/>
                      </w:divBdr>
                      <w:divsChild>
                        <w:div w:id="1517380716">
                          <w:marLeft w:val="300"/>
                          <w:marRight w:val="300"/>
                          <w:marTop w:val="0"/>
                          <w:marBottom w:val="300"/>
                          <w:divBdr>
                            <w:top w:val="none" w:sz="0" w:space="0" w:color="auto"/>
                            <w:left w:val="none" w:sz="0" w:space="0" w:color="auto"/>
                            <w:bottom w:val="none" w:sz="0" w:space="0" w:color="auto"/>
                            <w:right w:val="none" w:sz="0" w:space="0" w:color="auto"/>
                          </w:divBdr>
                          <w:divsChild>
                            <w:div w:id="20072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86825">
          <w:marLeft w:val="0"/>
          <w:marRight w:val="0"/>
          <w:marTop w:val="0"/>
          <w:marBottom w:val="0"/>
          <w:divBdr>
            <w:top w:val="none" w:sz="0" w:space="0" w:color="auto"/>
            <w:left w:val="none" w:sz="0" w:space="0" w:color="auto"/>
            <w:bottom w:val="none" w:sz="0" w:space="0" w:color="auto"/>
            <w:right w:val="none" w:sz="0" w:space="0" w:color="auto"/>
          </w:divBdr>
          <w:divsChild>
            <w:div w:id="534078017">
              <w:marLeft w:val="300"/>
              <w:marRight w:val="300"/>
              <w:marTop w:val="0"/>
              <w:marBottom w:val="300"/>
              <w:divBdr>
                <w:top w:val="none" w:sz="0" w:space="0" w:color="auto"/>
                <w:left w:val="none" w:sz="0" w:space="0" w:color="auto"/>
                <w:bottom w:val="none" w:sz="0" w:space="0" w:color="auto"/>
                <w:right w:val="none" w:sz="0" w:space="0" w:color="auto"/>
              </w:divBdr>
              <w:divsChild>
                <w:div w:id="1400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Nancy\Downloads\December%202017%20Budget%20vs%20%20Acual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w="3175">
              <a:solidFill>
                <a:schemeClr val="tx1"/>
              </a:solidFill>
            </a:ln>
          </c:spPr>
          <c:dPt>
            <c:idx val="0"/>
            <c:bubble3D val="0"/>
            <c:spPr>
              <a:solidFill>
                <a:schemeClr val="bg2">
                  <a:lumMod val="90000"/>
                </a:schemeClr>
              </a:solidFill>
              <a:ln w="3175">
                <a:solidFill>
                  <a:schemeClr val="tx1"/>
                </a:solidFill>
              </a:ln>
              <a:effectLst/>
            </c:spPr>
          </c:dPt>
          <c:dPt>
            <c:idx val="1"/>
            <c:bubble3D val="0"/>
            <c:spPr>
              <a:solidFill>
                <a:schemeClr val="bg1">
                  <a:lumMod val="65000"/>
                </a:schemeClr>
              </a:solidFill>
              <a:ln w="3175">
                <a:solidFill>
                  <a:schemeClr val="tx1"/>
                </a:solidFill>
              </a:ln>
              <a:effectLst/>
            </c:spPr>
          </c:dPt>
          <c:dPt>
            <c:idx val="2"/>
            <c:bubble3D val="0"/>
            <c:spPr>
              <a:solidFill>
                <a:schemeClr val="accent3">
                  <a:lumMod val="75000"/>
                </a:schemeClr>
              </a:solidFill>
              <a:ln w="3175">
                <a:solidFill>
                  <a:schemeClr val="tx1"/>
                </a:solidFill>
              </a:ln>
              <a:effectLst/>
            </c:spPr>
          </c:dPt>
          <c:dPt>
            <c:idx val="3"/>
            <c:bubble3D val="0"/>
            <c:spPr>
              <a:solidFill>
                <a:srgbClr val="C00000"/>
              </a:solidFill>
              <a:ln w="3175">
                <a:solidFill>
                  <a:schemeClr val="tx1"/>
                </a:solidFill>
              </a:ln>
              <a:effectLst/>
            </c:spPr>
          </c:dPt>
          <c:dLbls>
            <c:dLbl>
              <c:idx val="0"/>
              <c:layout>
                <c:manualLayout>
                  <c:x val="-0.18675352877307283"/>
                  <c:y val="0.14875856164383561"/>
                </c:manualLayout>
              </c:layout>
              <c:tx>
                <c:rich>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inion Pro" panose="02040503050201020203" pitchFamily="18" charset="0"/>
                        <a:ea typeface="+mn-ea"/>
                        <a:cs typeface="+mn-cs"/>
                      </a:defRPr>
                    </a:pPr>
                    <a:r>
                      <a:rPr lang="en-US" sz="1100" b="1">
                        <a:latin typeface="Minion Pro" panose="02040503050201020203" pitchFamily="18" charset="0"/>
                      </a:rPr>
                      <a:t>Churches </a:t>
                    </a:r>
                    <a:fld id="{4F6F9D9A-14C6-4F2F-822C-1B9A761D78D4}" type="VALUE">
                      <a:rPr lang="en-US" sz="1100" b="1">
                        <a:latin typeface="Minion Pro" panose="02040503050201020203" pitchFamily="18" charset="0"/>
                      </a:rPr>
                      <a:pPr>
                        <a:defRPr sz="1100" b="1">
                          <a:solidFill>
                            <a:sysClr val="windowText" lastClr="000000"/>
                          </a:solidFill>
                          <a:latin typeface="Minion Pro" panose="02040503050201020203" pitchFamily="18" charset="0"/>
                        </a:defRPr>
                      </a:pPr>
                      <a:t>[VALUE]</a:t>
                    </a:fld>
                    <a:endParaRPr lang="en-US" sz="1100" b="1">
                      <a:latin typeface="Minion Pro" panose="02040503050201020203"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ysClr val="windowText" lastClr="000000"/>
                      </a:solidFill>
                      <a:latin typeface="Minion Pro" panose="02040503050201020203"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7904451682953313"/>
                      <c:h val="0.19798801369863014"/>
                    </c:manualLayout>
                  </c15:layout>
                  <c15:dlblFieldTable/>
                  <c15:showDataLabelsRange val="0"/>
                </c:ext>
              </c:extLst>
            </c:dLbl>
            <c:dLbl>
              <c:idx val="1"/>
              <c:layout>
                <c:manualLayout>
                  <c:x val="-1.4878812562222911E-2"/>
                  <c:y val="0.12432442423570293"/>
                </c:manualLayout>
              </c:layout>
              <c:tx>
                <c:rich>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inion Pro" panose="02040503050201020203" pitchFamily="18" charset="0"/>
                        <a:ea typeface="+mn-ea"/>
                        <a:cs typeface="+mn-cs"/>
                      </a:defRPr>
                    </a:pPr>
                    <a:r>
                      <a:rPr lang="en-US" sz="1100" b="1">
                        <a:latin typeface="Minion Pro" panose="02040503050201020203" pitchFamily="18" charset="0"/>
                      </a:rPr>
                      <a:t>Businesses &amp; Civic</a:t>
                    </a:r>
                    <a:r>
                      <a:rPr lang="en-US" sz="1100" b="1" baseline="0">
                        <a:latin typeface="Minion Pro" panose="02040503050201020203" pitchFamily="18" charset="0"/>
                      </a:rPr>
                      <a:t> Groups </a:t>
                    </a:r>
                    <a:fld id="{DF64FBC8-0F04-44E1-8978-F9FEF77310E9}" type="VALUE">
                      <a:rPr lang="en-US" sz="1100" b="1">
                        <a:latin typeface="Minion Pro" panose="02040503050201020203" pitchFamily="18" charset="0"/>
                      </a:rPr>
                      <a:pPr>
                        <a:defRPr sz="1100" b="1">
                          <a:solidFill>
                            <a:sysClr val="windowText" lastClr="000000"/>
                          </a:solidFill>
                          <a:latin typeface="Minion Pro" panose="02040503050201020203" pitchFamily="18" charset="0"/>
                        </a:defRPr>
                      </a:pPr>
                      <a:t>[VALUE]</a:t>
                    </a:fld>
                    <a:endParaRPr lang="en-US" sz="1100" b="1" baseline="0">
                      <a:latin typeface="Minion Pro" panose="02040503050201020203"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inion Pro" panose="02040503050201020203"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37133550488599348"/>
                      <c:h val="0.3692208904109589"/>
                    </c:manualLayout>
                  </c15:layout>
                  <c15:dlblFieldTable/>
                  <c15:showDataLabelsRange val="0"/>
                </c:ext>
              </c:extLst>
            </c:dLbl>
            <c:dLbl>
              <c:idx val="2"/>
              <c:layout>
                <c:manualLayout>
                  <c:x val="-0.13297348176305557"/>
                  <c:y val="-0.20244076004583933"/>
                </c:manualLayout>
              </c:layout>
              <c:tx>
                <c:rich>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inion Pro" panose="02040503050201020203" pitchFamily="18" charset="0"/>
                        <a:ea typeface="+mn-ea"/>
                        <a:cs typeface="+mn-cs"/>
                      </a:defRPr>
                    </a:pPr>
                    <a:r>
                      <a:rPr lang="en-US" sz="1100" b="1">
                        <a:latin typeface="Minion Pro" panose="02040503050201020203" pitchFamily="18" charset="0"/>
                      </a:rPr>
                      <a:t>Grants</a:t>
                    </a:r>
                    <a:r>
                      <a:rPr lang="en-US" sz="1100" b="1" baseline="0">
                        <a:latin typeface="Minion Pro" panose="02040503050201020203" pitchFamily="18" charset="0"/>
                      </a:rPr>
                      <a:t> &amp; Foundations </a:t>
                    </a:r>
                    <a:fld id="{B70F5962-0C11-466F-A47A-7377E92F47DB}" type="VALUE">
                      <a:rPr lang="en-US" sz="1100" b="1">
                        <a:latin typeface="Minion Pro" panose="02040503050201020203" pitchFamily="18" charset="0"/>
                      </a:rPr>
                      <a:pPr>
                        <a:defRPr sz="1100" b="1">
                          <a:solidFill>
                            <a:sysClr val="windowText" lastClr="000000"/>
                          </a:solidFill>
                          <a:latin typeface="Minion Pro" panose="02040503050201020203" pitchFamily="18" charset="0"/>
                        </a:defRPr>
                      </a:pPr>
                      <a:t>[VALUE]</a:t>
                    </a:fld>
                    <a:endParaRPr lang="en-US" sz="1100" b="1" baseline="0">
                      <a:latin typeface="Minion Pro" panose="02040503050201020203" pitchFamily="18" charset="0"/>
                    </a:endParaRP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inion Pro" panose="02040503050201020203" pitchFamily="18" charset="0"/>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32790445168295329"/>
                      <c:h val="0.30821917808219179"/>
                    </c:manualLayout>
                  </c15:layout>
                  <c15:dlblFieldTable/>
                  <c15:showDataLabelsRange val="0"/>
                </c:ext>
              </c:extLst>
            </c:dLbl>
            <c:dLbl>
              <c:idx val="3"/>
              <c:layout>
                <c:manualLayout>
                  <c:x val="0.11464703719852606"/>
                  <c:y val="-0.12405754503289829"/>
                </c:manualLayout>
              </c:layout>
              <c:tx>
                <c:rich>
                  <a:bodyPr/>
                  <a:lstStyle/>
                  <a:p>
                    <a:r>
                      <a:rPr lang="en-US" sz="1100" b="1">
                        <a:latin typeface="Minion Pro" panose="02040503050201020203" pitchFamily="18" charset="0"/>
                      </a:rPr>
                      <a:t>Indiviual Donations </a:t>
                    </a:r>
                    <a:fld id="{F920CE0B-E9B2-42D0-B11F-F2FE1AAB98DC}" type="VALUE">
                      <a:rPr lang="en-US" sz="1100" b="1">
                        <a:latin typeface="Minion Pro" panose="02040503050201020203" pitchFamily="18" charset="0"/>
                      </a:rPr>
                      <a:pPr/>
                      <a:t>[VALUE]</a:t>
                    </a:fld>
                    <a:endParaRPr lang="en-US" sz="1100" b="1">
                      <a:latin typeface="Minion Pro" panose="02040503050201020203" pitchFamily="18" charset="0"/>
                    </a:endParaRPr>
                  </a:p>
                </c:rich>
              </c:tx>
              <c:dLblPos val="bestFit"/>
              <c:showLegendKey val="0"/>
              <c:showVal val="1"/>
              <c:showCatName val="0"/>
              <c:showSerName val="0"/>
              <c:showPercent val="0"/>
              <c:showBubbleSize val="0"/>
              <c:extLst>
                <c:ext xmlns:c15="http://schemas.microsoft.com/office/drawing/2012/chart" uri="{CE6537A1-D6FC-4f65-9D91-7224C49458BB}">
                  <c15:layout>
                    <c:manualLayout>
                      <c:w val="0.37976112920738325"/>
                      <c:h val="0.48839897260273973"/>
                    </c:manualLayout>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inion Pro" panose="02040503050201020203" pitchFamily="18" charset="0"/>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'[December 2017 Budget vs  Acuals.xlsx]Sheet1'!$A$1:$A$4</c:f>
              <c:strCache>
                <c:ptCount val="4"/>
                <c:pt idx="0">
                  <c:v>Churches</c:v>
                </c:pt>
                <c:pt idx="1">
                  <c:v>Business &amp; Civic Organizations</c:v>
                </c:pt>
                <c:pt idx="2">
                  <c:v>Grants</c:v>
                </c:pt>
                <c:pt idx="3">
                  <c:v>Individuals</c:v>
                </c:pt>
              </c:strCache>
            </c:strRef>
          </c:cat>
          <c:val>
            <c:numRef>
              <c:f>'[December 2017 Budget vs  Acuals.xlsx]Sheet1'!$B$1:$B$4</c:f>
              <c:numCache>
                <c:formatCode>0%</c:formatCode>
                <c:ptCount val="4"/>
                <c:pt idx="0">
                  <c:v>0.13</c:v>
                </c:pt>
                <c:pt idx="1">
                  <c:v>0.13</c:v>
                </c:pt>
                <c:pt idx="2">
                  <c:v>0.16</c:v>
                </c:pt>
                <c:pt idx="3">
                  <c:v>0.55000000000000004</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06EB0-5D1A-482A-81C2-AB5410C4372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US"/>
        </a:p>
      </dgm:t>
    </dgm:pt>
    <dgm:pt modelId="{E8C6D81C-2C18-4E3A-8D05-D5999663D361}">
      <dgm:prSet phldrT="[Text]"/>
      <dgm:spPr/>
      <dgm:t>
        <a:bodyPr/>
        <a:lstStyle/>
        <a:p>
          <a:pPr algn="l"/>
          <a:r>
            <a:rPr lang="en-US" b="1"/>
            <a:t>Address Urgent Medical Needs </a:t>
          </a:r>
          <a:endParaRPr lang="en-US"/>
        </a:p>
      </dgm:t>
    </dgm:pt>
    <dgm:pt modelId="{ADD2CC81-4552-4959-B287-22BE4C0841CB}" type="parTrans" cxnId="{5D1024DF-04B8-49C6-934F-2F4806771E96}">
      <dgm:prSet/>
      <dgm:spPr/>
      <dgm:t>
        <a:bodyPr/>
        <a:lstStyle/>
        <a:p>
          <a:pPr algn="l"/>
          <a:endParaRPr lang="en-US"/>
        </a:p>
      </dgm:t>
    </dgm:pt>
    <dgm:pt modelId="{E602CADB-937C-418B-BC2D-4F4D4AA76C9B}" type="sibTrans" cxnId="{5D1024DF-04B8-49C6-934F-2F4806771E96}">
      <dgm:prSet/>
      <dgm:spPr/>
      <dgm:t>
        <a:bodyPr/>
        <a:lstStyle/>
        <a:p>
          <a:pPr algn="l"/>
          <a:endParaRPr lang="en-US"/>
        </a:p>
      </dgm:t>
    </dgm:pt>
    <dgm:pt modelId="{8C364CD7-CB28-4301-8DD4-BFC7C6233AB1}">
      <dgm:prSet/>
      <dgm:spPr/>
      <dgm:t>
        <a:bodyPr/>
        <a:lstStyle/>
        <a:p>
          <a:pPr algn="l"/>
          <a:r>
            <a:rPr lang="en-US" b="1"/>
            <a:t>Address Urgent Dental Needs </a:t>
          </a:r>
          <a:endParaRPr lang="en-US"/>
        </a:p>
      </dgm:t>
    </dgm:pt>
    <dgm:pt modelId="{A5B64049-B7DD-4863-A1C0-2D982026EF81}" type="parTrans" cxnId="{989F28A3-A0B4-4CC3-A64F-608F865663A3}">
      <dgm:prSet/>
      <dgm:spPr/>
      <dgm:t>
        <a:bodyPr/>
        <a:lstStyle/>
        <a:p>
          <a:pPr algn="l"/>
          <a:endParaRPr lang="en-US"/>
        </a:p>
      </dgm:t>
    </dgm:pt>
    <dgm:pt modelId="{F40A93CA-9321-4518-80CF-0DD602753669}" type="sibTrans" cxnId="{989F28A3-A0B4-4CC3-A64F-608F865663A3}">
      <dgm:prSet/>
      <dgm:spPr/>
      <dgm:t>
        <a:bodyPr/>
        <a:lstStyle/>
        <a:p>
          <a:pPr algn="l"/>
          <a:endParaRPr lang="en-US"/>
        </a:p>
      </dgm:t>
    </dgm:pt>
    <dgm:pt modelId="{5BA89B68-F2DB-4F3E-BAE1-AD77A90FCB63}">
      <dgm:prSet/>
      <dgm:spPr/>
      <dgm:t>
        <a:bodyPr/>
        <a:lstStyle/>
        <a:p>
          <a:pPr algn="l"/>
          <a:r>
            <a:rPr lang="en-US" b="1"/>
            <a:t>Improve &amp; Stabalize Health through Health Education &amp; Care Management Programs</a:t>
          </a:r>
          <a:endParaRPr lang="en-US"/>
        </a:p>
      </dgm:t>
    </dgm:pt>
    <dgm:pt modelId="{C41B3F00-7B80-4C1D-8D13-9DD2DFA74310}" type="parTrans" cxnId="{8E68016F-BECA-4A4A-8940-B305B60059C9}">
      <dgm:prSet/>
      <dgm:spPr/>
      <dgm:t>
        <a:bodyPr/>
        <a:lstStyle/>
        <a:p>
          <a:pPr algn="l"/>
          <a:endParaRPr lang="en-US"/>
        </a:p>
      </dgm:t>
    </dgm:pt>
    <dgm:pt modelId="{281E8A17-E3DD-4635-AE4F-2FCA4B78F363}" type="sibTrans" cxnId="{8E68016F-BECA-4A4A-8940-B305B60059C9}">
      <dgm:prSet/>
      <dgm:spPr/>
      <dgm:t>
        <a:bodyPr/>
        <a:lstStyle/>
        <a:p>
          <a:pPr algn="l"/>
          <a:endParaRPr lang="en-US"/>
        </a:p>
      </dgm:t>
    </dgm:pt>
    <dgm:pt modelId="{3A1F353B-C435-4D5A-9837-FFF6DA4E93C1}">
      <dgm:prSet/>
      <dgm:spPr/>
      <dgm:t>
        <a:bodyPr/>
        <a:lstStyle/>
        <a:p>
          <a:pPr algn="l"/>
          <a:r>
            <a:rPr lang="en-US" b="1"/>
            <a:t>Equip to be Self-Sustaining &amp; No longer Need TMM’s Services  </a:t>
          </a:r>
          <a:endParaRPr lang="en-US"/>
        </a:p>
      </dgm:t>
    </dgm:pt>
    <dgm:pt modelId="{57DE4F18-1505-4DB1-945B-CA0604BA86A2}" type="parTrans" cxnId="{F9302F1D-6B26-4384-A2A2-49496460621C}">
      <dgm:prSet/>
      <dgm:spPr/>
      <dgm:t>
        <a:bodyPr/>
        <a:lstStyle/>
        <a:p>
          <a:pPr algn="l"/>
          <a:endParaRPr lang="en-US"/>
        </a:p>
      </dgm:t>
    </dgm:pt>
    <dgm:pt modelId="{49875385-1713-4ED3-BEBA-C8D0A8E9214C}" type="sibTrans" cxnId="{F9302F1D-6B26-4384-A2A2-49496460621C}">
      <dgm:prSet/>
      <dgm:spPr/>
      <dgm:t>
        <a:bodyPr/>
        <a:lstStyle/>
        <a:p>
          <a:pPr algn="l"/>
          <a:endParaRPr lang="en-US"/>
        </a:p>
      </dgm:t>
    </dgm:pt>
    <dgm:pt modelId="{BB3E9D13-A9BF-42B8-8D3F-68DAAF2369A8}" type="pres">
      <dgm:prSet presAssocID="{51606EB0-5D1A-482A-81C2-AB5410C4372D}" presName="rootnode" presStyleCnt="0">
        <dgm:presLayoutVars>
          <dgm:chMax/>
          <dgm:chPref/>
          <dgm:dir/>
          <dgm:animLvl val="lvl"/>
        </dgm:presLayoutVars>
      </dgm:prSet>
      <dgm:spPr/>
      <dgm:t>
        <a:bodyPr/>
        <a:lstStyle/>
        <a:p>
          <a:endParaRPr lang="en-US"/>
        </a:p>
      </dgm:t>
    </dgm:pt>
    <dgm:pt modelId="{F143BCF5-D845-4C55-A0B9-50E160FFC0BE}" type="pres">
      <dgm:prSet presAssocID="{E8C6D81C-2C18-4E3A-8D05-D5999663D361}" presName="composite" presStyleCnt="0"/>
      <dgm:spPr/>
    </dgm:pt>
    <dgm:pt modelId="{A9A5E299-F458-4900-BBD3-7053984FC3CF}" type="pres">
      <dgm:prSet presAssocID="{E8C6D81C-2C18-4E3A-8D05-D5999663D361}" presName="LShape" presStyleLbl="alignNode1" presStyleIdx="0" presStyleCnt="7"/>
      <dgm:spPr>
        <a:solidFill>
          <a:srgbClr val="C00000"/>
        </a:solidFill>
      </dgm:spPr>
    </dgm:pt>
    <dgm:pt modelId="{22BD518F-CF2C-4E92-8CE6-03B9CBB19FE1}" type="pres">
      <dgm:prSet presAssocID="{E8C6D81C-2C18-4E3A-8D05-D5999663D361}" presName="ParentText" presStyleLbl="revTx" presStyleIdx="0" presStyleCnt="4">
        <dgm:presLayoutVars>
          <dgm:chMax val="0"/>
          <dgm:chPref val="0"/>
          <dgm:bulletEnabled val="1"/>
        </dgm:presLayoutVars>
      </dgm:prSet>
      <dgm:spPr/>
      <dgm:t>
        <a:bodyPr/>
        <a:lstStyle/>
        <a:p>
          <a:endParaRPr lang="en-US"/>
        </a:p>
      </dgm:t>
    </dgm:pt>
    <dgm:pt modelId="{74927B8C-B7BF-4B63-93BA-E089CF237FF2}" type="pres">
      <dgm:prSet presAssocID="{E8C6D81C-2C18-4E3A-8D05-D5999663D361}" presName="Triangle" presStyleLbl="alignNode1" presStyleIdx="1" presStyleCnt="7"/>
      <dgm:spPr/>
    </dgm:pt>
    <dgm:pt modelId="{93B0899F-6CDD-482F-8E05-F14DAEF6BF1F}" type="pres">
      <dgm:prSet presAssocID="{E602CADB-937C-418B-BC2D-4F4D4AA76C9B}" presName="sibTrans" presStyleCnt="0"/>
      <dgm:spPr/>
    </dgm:pt>
    <dgm:pt modelId="{B7F8E8A1-1F81-4951-87D1-4EB184436419}" type="pres">
      <dgm:prSet presAssocID="{E602CADB-937C-418B-BC2D-4F4D4AA76C9B}" presName="space" presStyleCnt="0"/>
      <dgm:spPr/>
    </dgm:pt>
    <dgm:pt modelId="{4BA20283-3E05-4FC2-B2DC-FA2ADAD71CD8}" type="pres">
      <dgm:prSet presAssocID="{8C364CD7-CB28-4301-8DD4-BFC7C6233AB1}" presName="composite" presStyleCnt="0"/>
      <dgm:spPr/>
    </dgm:pt>
    <dgm:pt modelId="{1826AA56-8A83-420E-9B19-0FE79EAB2E13}" type="pres">
      <dgm:prSet presAssocID="{8C364CD7-CB28-4301-8DD4-BFC7C6233AB1}" presName="LShape" presStyleLbl="alignNode1" presStyleIdx="2" presStyleCnt="7"/>
      <dgm:spPr>
        <a:solidFill>
          <a:schemeClr val="accent2">
            <a:lumMod val="75000"/>
          </a:schemeClr>
        </a:solidFill>
      </dgm:spPr>
    </dgm:pt>
    <dgm:pt modelId="{C9601644-1D21-458B-AAD6-6B50FA6AF6ED}" type="pres">
      <dgm:prSet presAssocID="{8C364CD7-CB28-4301-8DD4-BFC7C6233AB1}" presName="ParentText" presStyleLbl="revTx" presStyleIdx="1" presStyleCnt="4">
        <dgm:presLayoutVars>
          <dgm:chMax val="0"/>
          <dgm:chPref val="0"/>
          <dgm:bulletEnabled val="1"/>
        </dgm:presLayoutVars>
      </dgm:prSet>
      <dgm:spPr/>
      <dgm:t>
        <a:bodyPr/>
        <a:lstStyle/>
        <a:p>
          <a:endParaRPr lang="en-US"/>
        </a:p>
      </dgm:t>
    </dgm:pt>
    <dgm:pt modelId="{33CF23CF-0570-499B-B98F-FD146382C35F}" type="pres">
      <dgm:prSet presAssocID="{8C364CD7-CB28-4301-8DD4-BFC7C6233AB1}" presName="Triangle" presStyleLbl="alignNode1" presStyleIdx="3" presStyleCnt="7"/>
      <dgm:spPr/>
    </dgm:pt>
    <dgm:pt modelId="{E771C9BF-19C4-4750-BC6A-7B3644D6BF44}" type="pres">
      <dgm:prSet presAssocID="{F40A93CA-9321-4518-80CF-0DD602753669}" presName="sibTrans" presStyleCnt="0"/>
      <dgm:spPr/>
    </dgm:pt>
    <dgm:pt modelId="{0A77FA5E-21D8-4995-AF5D-7E6AF632C397}" type="pres">
      <dgm:prSet presAssocID="{F40A93CA-9321-4518-80CF-0DD602753669}" presName="space" presStyleCnt="0"/>
      <dgm:spPr/>
    </dgm:pt>
    <dgm:pt modelId="{C7FC4F98-1C04-4A82-B23F-B6A92B26DE23}" type="pres">
      <dgm:prSet presAssocID="{5BA89B68-F2DB-4F3E-BAE1-AD77A90FCB63}" presName="composite" presStyleCnt="0"/>
      <dgm:spPr/>
    </dgm:pt>
    <dgm:pt modelId="{6790CDBE-ACBB-46A2-B29F-841DB56A74E2}" type="pres">
      <dgm:prSet presAssocID="{5BA89B68-F2DB-4F3E-BAE1-AD77A90FCB63}" presName="LShape" presStyleLbl="alignNode1" presStyleIdx="4" presStyleCnt="7"/>
      <dgm:spPr/>
    </dgm:pt>
    <dgm:pt modelId="{D4AE61BB-05C2-4551-BFD1-3F7A31E81EC8}" type="pres">
      <dgm:prSet presAssocID="{5BA89B68-F2DB-4F3E-BAE1-AD77A90FCB63}" presName="ParentText" presStyleLbl="revTx" presStyleIdx="2" presStyleCnt="4">
        <dgm:presLayoutVars>
          <dgm:chMax val="0"/>
          <dgm:chPref val="0"/>
          <dgm:bulletEnabled val="1"/>
        </dgm:presLayoutVars>
      </dgm:prSet>
      <dgm:spPr/>
      <dgm:t>
        <a:bodyPr/>
        <a:lstStyle/>
        <a:p>
          <a:endParaRPr lang="en-US"/>
        </a:p>
      </dgm:t>
    </dgm:pt>
    <dgm:pt modelId="{B66CE3B0-7296-405D-AB2C-20F9239074A8}" type="pres">
      <dgm:prSet presAssocID="{5BA89B68-F2DB-4F3E-BAE1-AD77A90FCB63}" presName="Triangle" presStyleLbl="alignNode1" presStyleIdx="5" presStyleCnt="7"/>
      <dgm:spPr/>
    </dgm:pt>
    <dgm:pt modelId="{131835CC-1668-4D94-B693-391DF99C1322}" type="pres">
      <dgm:prSet presAssocID="{281E8A17-E3DD-4635-AE4F-2FCA4B78F363}" presName="sibTrans" presStyleCnt="0"/>
      <dgm:spPr/>
    </dgm:pt>
    <dgm:pt modelId="{8F789E76-28AF-4C0E-B63E-C261D071535A}" type="pres">
      <dgm:prSet presAssocID="{281E8A17-E3DD-4635-AE4F-2FCA4B78F363}" presName="space" presStyleCnt="0"/>
      <dgm:spPr/>
    </dgm:pt>
    <dgm:pt modelId="{D5DC0A81-71F4-4D71-B492-595B9105A202}" type="pres">
      <dgm:prSet presAssocID="{3A1F353B-C435-4D5A-9837-FFF6DA4E93C1}" presName="composite" presStyleCnt="0"/>
      <dgm:spPr/>
    </dgm:pt>
    <dgm:pt modelId="{C436F4E6-F16F-4EDF-9291-A9938654CD31}" type="pres">
      <dgm:prSet presAssocID="{3A1F353B-C435-4D5A-9837-FFF6DA4E93C1}" presName="LShape" presStyleLbl="alignNode1" presStyleIdx="6" presStyleCnt="7"/>
      <dgm:spPr>
        <a:solidFill>
          <a:schemeClr val="accent6">
            <a:lumMod val="75000"/>
          </a:schemeClr>
        </a:solidFill>
      </dgm:spPr>
    </dgm:pt>
    <dgm:pt modelId="{DF057F40-B677-4114-B58B-1602E253EDF6}" type="pres">
      <dgm:prSet presAssocID="{3A1F353B-C435-4D5A-9837-FFF6DA4E93C1}" presName="ParentText" presStyleLbl="revTx" presStyleIdx="3" presStyleCnt="4">
        <dgm:presLayoutVars>
          <dgm:chMax val="0"/>
          <dgm:chPref val="0"/>
          <dgm:bulletEnabled val="1"/>
        </dgm:presLayoutVars>
      </dgm:prSet>
      <dgm:spPr/>
      <dgm:t>
        <a:bodyPr/>
        <a:lstStyle/>
        <a:p>
          <a:endParaRPr lang="en-US"/>
        </a:p>
      </dgm:t>
    </dgm:pt>
  </dgm:ptLst>
  <dgm:cxnLst>
    <dgm:cxn modelId="{8E2054E6-0139-4277-A233-C20EF424C411}" type="presOf" srcId="{5BA89B68-F2DB-4F3E-BAE1-AD77A90FCB63}" destId="{D4AE61BB-05C2-4551-BFD1-3F7A31E81EC8}" srcOrd="0" destOrd="0" presId="urn:microsoft.com/office/officeart/2009/3/layout/StepUpProcess"/>
    <dgm:cxn modelId="{DA07ED54-A74A-489E-96AD-CB4F77DEB9F6}" type="presOf" srcId="{51606EB0-5D1A-482A-81C2-AB5410C4372D}" destId="{BB3E9D13-A9BF-42B8-8D3F-68DAAF2369A8}" srcOrd="0" destOrd="0" presId="urn:microsoft.com/office/officeart/2009/3/layout/StepUpProcess"/>
    <dgm:cxn modelId="{989F28A3-A0B4-4CC3-A64F-608F865663A3}" srcId="{51606EB0-5D1A-482A-81C2-AB5410C4372D}" destId="{8C364CD7-CB28-4301-8DD4-BFC7C6233AB1}" srcOrd="1" destOrd="0" parTransId="{A5B64049-B7DD-4863-A1C0-2D982026EF81}" sibTransId="{F40A93CA-9321-4518-80CF-0DD602753669}"/>
    <dgm:cxn modelId="{F9302F1D-6B26-4384-A2A2-49496460621C}" srcId="{51606EB0-5D1A-482A-81C2-AB5410C4372D}" destId="{3A1F353B-C435-4D5A-9837-FFF6DA4E93C1}" srcOrd="3" destOrd="0" parTransId="{57DE4F18-1505-4DB1-945B-CA0604BA86A2}" sibTransId="{49875385-1713-4ED3-BEBA-C8D0A8E9214C}"/>
    <dgm:cxn modelId="{7CF4045F-0440-4A1E-B44D-ECEB8D50DF81}" type="presOf" srcId="{3A1F353B-C435-4D5A-9837-FFF6DA4E93C1}" destId="{DF057F40-B677-4114-B58B-1602E253EDF6}" srcOrd="0" destOrd="0" presId="urn:microsoft.com/office/officeart/2009/3/layout/StepUpProcess"/>
    <dgm:cxn modelId="{CCF4880C-8FB4-42EF-AC0C-CC4603374CC9}" type="presOf" srcId="{E8C6D81C-2C18-4E3A-8D05-D5999663D361}" destId="{22BD518F-CF2C-4E92-8CE6-03B9CBB19FE1}" srcOrd="0" destOrd="0" presId="urn:microsoft.com/office/officeart/2009/3/layout/StepUpProcess"/>
    <dgm:cxn modelId="{5D1024DF-04B8-49C6-934F-2F4806771E96}" srcId="{51606EB0-5D1A-482A-81C2-AB5410C4372D}" destId="{E8C6D81C-2C18-4E3A-8D05-D5999663D361}" srcOrd="0" destOrd="0" parTransId="{ADD2CC81-4552-4959-B287-22BE4C0841CB}" sibTransId="{E602CADB-937C-418B-BC2D-4F4D4AA76C9B}"/>
    <dgm:cxn modelId="{8E68016F-BECA-4A4A-8940-B305B60059C9}" srcId="{51606EB0-5D1A-482A-81C2-AB5410C4372D}" destId="{5BA89B68-F2DB-4F3E-BAE1-AD77A90FCB63}" srcOrd="2" destOrd="0" parTransId="{C41B3F00-7B80-4C1D-8D13-9DD2DFA74310}" sibTransId="{281E8A17-E3DD-4635-AE4F-2FCA4B78F363}"/>
    <dgm:cxn modelId="{30CEF582-E8E3-4A35-80E2-4C17F492C1BC}" type="presOf" srcId="{8C364CD7-CB28-4301-8DD4-BFC7C6233AB1}" destId="{C9601644-1D21-458B-AAD6-6B50FA6AF6ED}" srcOrd="0" destOrd="0" presId="urn:microsoft.com/office/officeart/2009/3/layout/StepUpProcess"/>
    <dgm:cxn modelId="{89F043E4-3676-464B-A4A4-60EA1630339D}" type="presParOf" srcId="{BB3E9D13-A9BF-42B8-8D3F-68DAAF2369A8}" destId="{F143BCF5-D845-4C55-A0B9-50E160FFC0BE}" srcOrd="0" destOrd="0" presId="urn:microsoft.com/office/officeart/2009/3/layout/StepUpProcess"/>
    <dgm:cxn modelId="{1E423A8A-3883-441C-905B-8B1E84D8FC0F}" type="presParOf" srcId="{F143BCF5-D845-4C55-A0B9-50E160FFC0BE}" destId="{A9A5E299-F458-4900-BBD3-7053984FC3CF}" srcOrd="0" destOrd="0" presId="urn:microsoft.com/office/officeart/2009/3/layout/StepUpProcess"/>
    <dgm:cxn modelId="{4F8A2EBF-1142-4EDF-A613-987DAC215E30}" type="presParOf" srcId="{F143BCF5-D845-4C55-A0B9-50E160FFC0BE}" destId="{22BD518F-CF2C-4E92-8CE6-03B9CBB19FE1}" srcOrd="1" destOrd="0" presId="urn:microsoft.com/office/officeart/2009/3/layout/StepUpProcess"/>
    <dgm:cxn modelId="{6922E926-9CDB-4028-9D5C-2A2886A335B1}" type="presParOf" srcId="{F143BCF5-D845-4C55-A0B9-50E160FFC0BE}" destId="{74927B8C-B7BF-4B63-93BA-E089CF237FF2}" srcOrd="2" destOrd="0" presId="urn:microsoft.com/office/officeart/2009/3/layout/StepUpProcess"/>
    <dgm:cxn modelId="{C7610E33-36DA-49B1-8442-EE39B2511178}" type="presParOf" srcId="{BB3E9D13-A9BF-42B8-8D3F-68DAAF2369A8}" destId="{93B0899F-6CDD-482F-8E05-F14DAEF6BF1F}" srcOrd="1" destOrd="0" presId="urn:microsoft.com/office/officeart/2009/3/layout/StepUpProcess"/>
    <dgm:cxn modelId="{53D2F074-D672-4465-AA5F-8CE167FB3982}" type="presParOf" srcId="{93B0899F-6CDD-482F-8E05-F14DAEF6BF1F}" destId="{B7F8E8A1-1F81-4951-87D1-4EB184436419}" srcOrd="0" destOrd="0" presId="urn:microsoft.com/office/officeart/2009/3/layout/StepUpProcess"/>
    <dgm:cxn modelId="{37C2B030-1B89-42C5-9878-7162E1794EE8}" type="presParOf" srcId="{BB3E9D13-A9BF-42B8-8D3F-68DAAF2369A8}" destId="{4BA20283-3E05-4FC2-B2DC-FA2ADAD71CD8}" srcOrd="2" destOrd="0" presId="urn:microsoft.com/office/officeart/2009/3/layout/StepUpProcess"/>
    <dgm:cxn modelId="{5DB0F8F8-C359-4993-9BE7-93BED0640F8C}" type="presParOf" srcId="{4BA20283-3E05-4FC2-B2DC-FA2ADAD71CD8}" destId="{1826AA56-8A83-420E-9B19-0FE79EAB2E13}" srcOrd="0" destOrd="0" presId="urn:microsoft.com/office/officeart/2009/3/layout/StepUpProcess"/>
    <dgm:cxn modelId="{A2488CD7-A4BC-448E-A194-E95D60EBEC98}" type="presParOf" srcId="{4BA20283-3E05-4FC2-B2DC-FA2ADAD71CD8}" destId="{C9601644-1D21-458B-AAD6-6B50FA6AF6ED}" srcOrd="1" destOrd="0" presId="urn:microsoft.com/office/officeart/2009/3/layout/StepUpProcess"/>
    <dgm:cxn modelId="{841E6305-E048-4B15-BEA6-219B4F092889}" type="presParOf" srcId="{4BA20283-3E05-4FC2-B2DC-FA2ADAD71CD8}" destId="{33CF23CF-0570-499B-B98F-FD146382C35F}" srcOrd="2" destOrd="0" presId="urn:microsoft.com/office/officeart/2009/3/layout/StepUpProcess"/>
    <dgm:cxn modelId="{13523A44-5C43-4274-A1C1-45DDD868D601}" type="presParOf" srcId="{BB3E9D13-A9BF-42B8-8D3F-68DAAF2369A8}" destId="{E771C9BF-19C4-4750-BC6A-7B3644D6BF44}" srcOrd="3" destOrd="0" presId="urn:microsoft.com/office/officeart/2009/3/layout/StepUpProcess"/>
    <dgm:cxn modelId="{619C9AA6-CB38-49CC-B543-140EC41FDBC3}" type="presParOf" srcId="{E771C9BF-19C4-4750-BC6A-7B3644D6BF44}" destId="{0A77FA5E-21D8-4995-AF5D-7E6AF632C397}" srcOrd="0" destOrd="0" presId="urn:microsoft.com/office/officeart/2009/3/layout/StepUpProcess"/>
    <dgm:cxn modelId="{8B164E8F-1612-462D-B5A2-2D4C053C233B}" type="presParOf" srcId="{BB3E9D13-A9BF-42B8-8D3F-68DAAF2369A8}" destId="{C7FC4F98-1C04-4A82-B23F-B6A92B26DE23}" srcOrd="4" destOrd="0" presId="urn:microsoft.com/office/officeart/2009/3/layout/StepUpProcess"/>
    <dgm:cxn modelId="{29FA61F4-308F-4F37-9B07-7FC9FE342A9E}" type="presParOf" srcId="{C7FC4F98-1C04-4A82-B23F-B6A92B26DE23}" destId="{6790CDBE-ACBB-46A2-B29F-841DB56A74E2}" srcOrd="0" destOrd="0" presId="urn:microsoft.com/office/officeart/2009/3/layout/StepUpProcess"/>
    <dgm:cxn modelId="{E7B9C4AA-C16F-4C94-B4D7-1E6D55FE2FD7}" type="presParOf" srcId="{C7FC4F98-1C04-4A82-B23F-B6A92B26DE23}" destId="{D4AE61BB-05C2-4551-BFD1-3F7A31E81EC8}" srcOrd="1" destOrd="0" presId="urn:microsoft.com/office/officeart/2009/3/layout/StepUpProcess"/>
    <dgm:cxn modelId="{12658D6E-04FB-49B1-8A8D-D19BD5DC16D8}" type="presParOf" srcId="{C7FC4F98-1C04-4A82-B23F-B6A92B26DE23}" destId="{B66CE3B0-7296-405D-AB2C-20F9239074A8}" srcOrd="2" destOrd="0" presId="urn:microsoft.com/office/officeart/2009/3/layout/StepUpProcess"/>
    <dgm:cxn modelId="{DEABFD4A-E0B9-4141-BA18-14A445B7EBD7}" type="presParOf" srcId="{BB3E9D13-A9BF-42B8-8D3F-68DAAF2369A8}" destId="{131835CC-1668-4D94-B693-391DF99C1322}" srcOrd="5" destOrd="0" presId="urn:microsoft.com/office/officeart/2009/3/layout/StepUpProcess"/>
    <dgm:cxn modelId="{0B439E64-EEA3-48BB-9004-2C3D69D7C0EE}" type="presParOf" srcId="{131835CC-1668-4D94-B693-391DF99C1322}" destId="{8F789E76-28AF-4C0E-B63E-C261D071535A}" srcOrd="0" destOrd="0" presId="urn:microsoft.com/office/officeart/2009/3/layout/StepUpProcess"/>
    <dgm:cxn modelId="{F488CB08-8C7E-435A-A126-EDC61A8F5EDF}" type="presParOf" srcId="{BB3E9D13-A9BF-42B8-8D3F-68DAAF2369A8}" destId="{D5DC0A81-71F4-4D71-B492-595B9105A202}" srcOrd="6" destOrd="0" presId="urn:microsoft.com/office/officeart/2009/3/layout/StepUpProcess"/>
    <dgm:cxn modelId="{358FD1D4-722A-43A8-8530-F66634CFD528}" type="presParOf" srcId="{D5DC0A81-71F4-4D71-B492-595B9105A202}" destId="{C436F4E6-F16F-4EDF-9291-A9938654CD31}" srcOrd="0" destOrd="0" presId="urn:microsoft.com/office/officeart/2009/3/layout/StepUpProcess"/>
    <dgm:cxn modelId="{CBBDFBC7-F08D-4F64-ABF9-4877ABBF88D8}" type="presParOf" srcId="{D5DC0A81-71F4-4D71-B492-595B9105A202}" destId="{DF057F40-B677-4114-B58B-1602E253EDF6}" srcOrd="1" destOrd="0" presId="urn:microsoft.com/office/officeart/2009/3/layout/StepUpProcess"/>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5E299-F458-4900-BBD3-7053984FC3CF}">
      <dsp:nvSpPr>
        <dsp:cNvPr id="0" name=""/>
        <dsp:cNvSpPr/>
      </dsp:nvSpPr>
      <dsp:spPr>
        <a:xfrm rot="5400000">
          <a:off x="772253" y="836692"/>
          <a:ext cx="809050" cy="1346242"/>
        </a:xfrm>
        <a:prstGeom prst="corner">
          <a:avLst>
            <a:gd name="adj1" fmla="val 16120"/>
            <a:gd name="adj2" fmla="val 16110"/>
          </a:avLst>
        </a:prstGeom>
        <a:solidFill>
          <a:srgbClr val="C00000"/>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BD518F-CF2C-4E92-8CE6-03B9CBB19FE1}">
      <dsp:nvSpPr>
        <dsp:cNvPr id="0" name=""/>
        <dsp:cNvSpPr/>
      </dsp:nvSpPr>
      <dsp:spPr>
        <a:xfrm>
          <a:off x="637202" y="1238929"/>
          <a:ext cx="1215395" cy="1065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t>Address Urgent Medical Needs </a:t>
          </a:r>
          <a:endParaRPr lang="en-US" sz="1100" kern="1200"/>
        </a:p>
      </dsp:txBody>
      <dsp:txXfrm>
        <a:off x="637202" y="1238929"/>
        <a:ext cx="1215395" cy="1065365"/>
      </dsp:txXfrm>
    </dsp:sp>
    <dsp:sp modelId="{74927B8C-B7BF-4B63-93BA-E089CF237FF2}">
      <dsp:nvSpPr>
        <dsp:cNvPr id="0" name=""/>
        <dsp:cNvSpPr/>
      </dsp:nvSpPr>
      <dsp:spPr>
        <a:xfrm>
          <a:off x="1623278" y="737580"/>
          <a:ext cx="229319" cy="22931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26AA56-8A83-420E-9B19-0FE79EAB2E13}">
      <dsp:nvSpPr>
        <dsp:cNvPr id="0" name=""/>
        <dsp:cNvSpPr/>
      </dsp:nvSpPr>
      <dsp:spPr>
        <a:xfrm rot="5400000">
          <a:off x="2260134" y="468515"/>
          <a:ext cx="809050" cy="1346242"/>
        </a:xfrm>
        <a:prstGeom prst="corner">
          <a:avLst>
            <a:gd name="adj1" fmla="val 16120"/>
            <a:gd name="adj2" fmla="val 16110"/>
          </a:avLst>
        </a:prstGeom>
        <a:solidFill>
          <a:schemeClr val="accent2">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601644-1D21-458B-AAD6-6B50FA6AF6ED}">
      <dsp:nvSpPr>
        <dsp:cNvPr id="0" name=""/>
        <dsp:cNvSpPr/>
      </dsp:nvSpPr>
      <dsp:spPr>
        <a:xfrm>
          <a:off x="2125084" y="870751"/>
          <a:ext cx="1215395" cy="1065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t>Address Urgent Dental Needs </a:t>
          </a:r>
          <a:endParaRPr lang="en-US" sz="1100" kern="1200"/>
        </a:p>
      </dsp:txBody>
      <dsp:txXfrm>
        <a:off x="2125084" y="870751"/>
        <a:ext cx="1215395" cy="1065365"/>
      </dsp:txXfrm>
    </dsp:sp>
    <dsp:sp modelId="{33CF23CF-0570-499B-B98F-FD146382C35F}">
      <dsp:nvSpPr>
        <dsp:cNvPr id="0" name=""/>
        <dsp:cNvSpPr/>
      </dsp:nvSpPr>
      <dsp:spPr>
        <a:xfrm>
          <a:off x="3111159" y="369403"/>
          <a:ext cx="229319" cy="22931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90CDBE-ACBB-46A2-B29F-841DB56A74E2}">
      <dsp:nvSpPr>
        <dsp:cNvPr id="0" name=""/>
        <dsp:cNvSpPr/>
      </dsp:nvSpPr>
      <dsp:spPr>
        <a:xfrm rot="5400000">
          <a:off x="3748016" y="100337"/>
          <a:ext cx="809050" cy="1346242"/>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AE61BB-05C2-4551-BFD1-3F7A31E81EC8}">
      <dsp:nvSpPr>
        <dsp:cNvPr id="0" name=""/>
        <dsp:cNvSpPr/>
      </dsp:nvSpPr>
      <dsp:spPr>
        <a:xfrm>
          <a:off x="3612965" y="502573"/>
          <a:ext cx="1215395" cy="1065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t>Improve &amp; Stabalize Health through Health Education &amp; Care Management Programs</a:t>
          </a:r>
          <a:endParaRPr lang="en-US" sz="1100" kern="1200"/>
        </a:p>
      </dsp:txBody>
      <dsp:txXfrm>
        <a:off x="3612965" y="502573"/>
        <a:ext cx="1215395" cy="1065365"/>
      </dsp:txXfrm>
    </dsp:sp>
    <dsp:sp modelId="{B66CE3B0-7296-405D-AB2C-20F9239074A8}">
      <dsp:nvSpPr>
        <dsp:cNvPr id="0" name=""/>
        <dsp:cNvSpPr/>
      </dsp:nvSpPr>
      <dsp:spPr>
        <a:xfrm>
          <a:off x="4599041" y="1225"/>
          <a:ext cx="229319" cy="229319"/>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36F4E6-F16F-4EDF-9291-A9938654CD31}">
      <dsp:nvSpPr>
        <dsp:cNvPr id="0" name=""/>
        <dsp:cNvSpPr/>
      </dsp:nvSpPr>
      <dsp:spPr>
        <a:xfrm rot="5400000">
          <a:off x="5235897" y="-267840"/>
          <a:ext cx="809050" cy="1346242"/>
        </a:xfrm>
        <a:prstGeom prst="corner">
          <a:avLst>
            <a:gd name="adj1" fmla="val 16120"/>
            <a:gd name="adj2" fmla="val 16110"/>
          </a:avLst>
        </a:prstGeom>
        <a:solidFill>
          <a:schemeClr val="accent6">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057F40-B677-4114-B58B-1602E253EDF6}">
      <dsp:nvSpPr>
        <dsp:cNvPr id="0" name=""/>
        <dsp:cNvSpPr/>
      </dsp:nvSpPr>
      <dsp:spPr>
        <a:xfrm>
          <a:off x="5100846" y="134396"/>
          <a:ext cx="1215395" cy="106536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lvl="0" algn="l" defTabSz="488950">
            <a:lnSpc>
              <a:spcPct val="90000"/>
            </a:lnSpc>
            <a:spcBef>
              <a:spcPct val="0"/>
            </a:spcBef>
            <a:spcAft>
              <a:spcPct val="35000"/>
            </a:spcAft>
          </a:pPr>
          <a:r>
            <a:rPr lang="en-US" sz="1100" b="1" kern="1200"/>
            <a:t>Equip to be Self-Sustaining &amp; No longer Need TMM’s Services  </a:t>
          </a:r>
          <a:endParaRPr lang="en-US" sz="1100" kern="1200"/>
        </a:p>
      </dsp:txBody>
      <dsp:txXfrm>
        <a:off x="5100846" y="134396"/>
        <a:ext cx="1215395" cy="106536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2BBD6-7171-4AD7-A23F-A84872F1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Ashley</cp:lastModifiedBy>
  <cp:revision>3</cp:revision>
  <cp:lastPrinted>2018-05-08T19:47:00Z</cp:lastPrinted>
  <dcterms:created xsi:type="dcterms:W3CDTF">2018-02-01T20:58:00Z</dcterms:created>
  <dcterms:modified xsi:type="dcterms:W3CDTF">2018-05-08T19:48:00Z</dcterms:modified>
</cp:coreProperties>
</file>